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D7" w:rsidRDefault="008F05D7" w:rsidP="00F154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</w:pPr>
      <w:bookmarkStart w:id="0" w:name="_GoBack"/>
      <w:bookmarkEnd w:id="0"/>
      <w:r w:rsidRPr="00A221D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Journal of Biogeography</w:t>
      </w:r>
    </w:p>
    <w:p w:rsidR="008F05D7" w:rsidRPr="00A221D6" w:rsidRDefault="008F05D7" w:rsidP="00F154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</w:pPr>
    </w:p>
    <w:p w:rsidR="008F05D7" w:rsidRDefault="008F05D7" w:rsidP="00F15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9A45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SUPPORTING INFORMATION</w:t>
      </w:r>
    </w:p>
    <w:p w:rsidR="008F05D7" w:rsidRDefault="008F05D7" w:rsidP="00F15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8F05D7" w:rsidRDefault="001831C2" w:rsidP="00F15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Phylogenetic conservatism</w:t>
      </w:r>
      <w:r w:rsidRPr="009A45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A51E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of species range size</w:t>
      </w:r>
      <w:r w:rsidR="008F05D7" w:rsidRPr="009A45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is the combined outcome of phylogeny and environmental stability</w:t>
      </w:r>
    </w:p>
    <w:p w:rsidR="008F05D7" w:rsidRDefault="008F05D7" w:rsidP="00F15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8F05D7" w:rsidRPr="00D11D16" w:rsidRDefault="008F05D7" w:rsidP="00F154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11D16">
        <w:rPr>
          <w:rFonts w:ascii="Times New Roman" w:hAnsi="Times New Roman" w:cs="Times New Roman"/>
          <w:sz w:val="24"/>
        </w:rPr>
        <w:t>Axelle Zacaï,</w:t>
      </w:r>
      <w:r w:rsidRPr="00D11D16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D11D16">
        <w:rPr>
          <w:rFonts w:ascii="Times New Roman" w:hAnsi="Times New Roman" w:cs="Times New Roman"/>
          <w:sz w:val="24"/>
        </w:rPr>
        <w:t>Emmanuel Fara,</w:t>
      </w:r>
      <w:r w:rsidRPr="00D11D1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11D16">
        <w:rPr>
          <w:rFonts w:ascii="Times New Roman" w:hAnsi="Times New Roman" w:cs="Times New Roman"/>
          <w:sz w:val="24"/>
        </w:rPr>
        <w:t>Arnaud Brayard, Rémi Laffont, Jean-Louis Dommergues and Christian Meister</w:t>
      </w:r>
    </w:p>
    <w:p w:rsidR="00E934AA" w:rsidRDefault="00E934AA" w:rsidP="005327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E293C" w:rsidRPr="008F05D7" w:rsidRDefault="00EE293C" w:rsidP="005327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327F9" w:rsidRDefault="00E934AA" w:rsidP="005327F9">
      <w:pPr>
        <w:pStyle w:val="NormalWeb"/>
        <w:spacing w:before="0" w:beforeAutospacing="0" w:after="0" w:afterAutospacing="0" w:line="360" w:lineRule="auto"/>
        <w:jc w:val="both"/>
        <w:rPr>
          <w:i/>
          <w:lang w:val="en-US"/>
        </w:rPr>
      </w:pPr>
      <w:r>
        <w:rPr>
          <w:b/>
          <w:lang w:val="en-US"/>
        </w:rPr>
        <w:t>Appendix S</w:t>
      </w:r>
      <w:r w:rsidR="00383873">
        <w:rPr>
          <w:b/>
          <w:lang w:val="en-US"/>
        </w:rPr>
        <w:t>1</w:t>
      </w:r>
      <w:r w:rsidRPr="000E232C">
        <w:rPr>
          <w:lang w:val="en-US"/>
        </w:rPr>
        <w:t xml:space="preserve"> </w:t>
      </w:r>
      <w:r w:rsidR="0022169E" w:rsidRPr="0022169E">
        <w:rPr>
          <w:lang w:val="en-US"/>
        </w:rPr>
        <w:t>References for Table 1</w:t>
      </w:r>
      <w:r w:rsidR="0022169E">
        <w:rPr>
          <w:lang w:val="en-US"/>
        </w:rPr>
        <w:t>, p</w:t>
      </w:r>
      <w:r w:rsidR="00E61B91" w:rsidRPr="00E61B91">
        <w:rPr>
          <w:lang w:val="en-US"/>
        </w:rPr>
        <w:t>alaeocoordinates of the 104 studied fossil localities and species-level phylogenetic trees for each chronozone of the early Pliensbachian with and without branch length recalculation</w:t>
      </w:r>
    </w:p>
    <w:p w:rsidR="00E934AA" w:rsidRDefault="00E934AA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169E" w:rsidRPr="0022169E" w:rsidRDefault="0022169E" w:rsidP="0022169E">
      <w:pPr>
        <w:pStyle w:val="Bibliography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69E">
        <w:rPr>
          <w:rFonts w:ascii="Times New Roman" w:hAnsi="Times New Roman" w:cs="Times New Roman"/>
          <w:b/>
          <w:sz w:val="24"/>
          <w:szCs w:val="24"/>
          <w:lang w:val="en-US"/>
        </w:rPr>
        <w:t>References for Table 1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Abellán, P. &amp; Ribera, I. (2011) Geographic location and phylogeny are the main determinants of the size of the geographical range in aquatic beetles. </w:t>
      </w:r>
      <w:r w:rsidRPr="00B310E9">
        <w:rPr>
          <w:rFonts w:ascii="Times New Roman" w:hAnsi="Times New Roman" w:cs="Times New Roman"/>
          <w:i/>
          <w:iCs/>
          <w:lang w:val="en-US"/>
        </w:rPr>
        <w:t>BMC evolutionary biology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11</w:t>
      </w:r>
      <w:r w:rsidR="00F46E63">
        <w:rPr>
          <w:rFonts w:ascii="Times New Roman" w:hAnsi="Times New Roman" w:cs="Times New Roman"/>
          <w:lang w:val="en-US"/>
        </w:rPr>
        <w:t>, 344</w:t>
      </w:r>
      <w:r w:rsidRPr="00B310E9">
        <w:rPr>
          <w:rFonts w:ascii="Times New Roman" w:hAnsi="Times New Roman" w:cs="Times New Roman"/>
          <w:lang w:val="en-US"/>
        </w:rPr>
        <w:t>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Blackburn, T.M., Jones, K.E., Cassey, P. &amp; Losin, N. (2004) The influence of spatial resolution on macroecological patterns of range size variation: a case study using parrots (Aves: Psittaciformes) of the world: range size resolution in parrots. </w:t>
      </w:r>
      <w:r w:rsidRPr="00B310E9">
        <w:rPr>
          <w:rFonts w:ascii="Times New Roman" w:hAnsi="Times New Roman" w:cs="Times New Roman"/>
          <w:i/>
          <w:iCs/>
          <w:lang w:val="en-US"/>
        </w:rPr>
        <w:t>Journal of Biogeography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31</w:t>
      </w:r>
      <w:r w:rsidRPr="00B310E9">
        <w:rPr>
          <w:rFonts w:ascii="Times New Roman" w:hAnsi="Times New Roman" w:cs="Times New Roman"/>
          <w:lang w:val="en-US"/>
        </w:rPr>
        <w:t>, 285–293.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>Böhning</w:t>
      </w:r>
      <w:r w:rsidRPr="00B310E9">
        <w:rPr>
          <w:rFonts w:ascii="Cambria Math" w:hAnsi="Cambria Math" w:cs="Cambria Math"/>
          <w:lang w:val="en-US"/>
        </w:rPr>
        <w:t>‐</w:t>
      </w:r>
      <w:r w:rsidRPr="00B310E9">
        <w:rPr>
          <w:rFonts w:ascii="Times New Roman" w:hAnsi="Times New Roman" w:cs="Times New Roman"/>
          <w:lang w:val="en-US"/>
        </w:rPr>
        <w:t xml:space="preserve">Gaese, K., Caprano, T., Ewijk, K. van, Veith, M., Chown, A.E.S.L. &amp; Losos, E.J.B. (2006) Range size: disentangling current traits and phylogenetic and biogeographic factors. </w:t>
      </w:r>
      <w:r w:rsidRPr="00B310E9">
        <w:rPr>
          <w:rFonts w:ascii="Times New Roman" w:hAnsi="Times New Roman" w:cs="Times New Roman"/>
          <w:i/>
          <w:iCs/>
          <w:lang w:val="en-US"/>
        </w:rPr>
        <w:t>The American Naturalist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F46E63">
        <w:rPr>
          <w:rFonts w:ascii="Times New Roman" w:hAnsi="Times New Roman" w:cs="Times New Roman"/>
          <w:bCs/>
          <w:i/>
          <w:lang w:val="en-US"/>
        </w:rPr>
        <w:t>167</w:t>
      </w:r>
      <w:r w:rsidRPr="00B310E9">
        <w:rPr>
          <w:rFonts w:ascii="Times New Roman" w:hAnsi="Times New Roman" w:cs="Times New Roman"/>
          <w:lang w:val="en-US"/>
        </w:rPr>
        <w:t>, 555–567.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Borregaard, M.K., Gotelli, N.J. &amp; Rahbek, C. (2012) Are range-size distributions consistent with species-level heritability? </w:t>
      </w:r>
      <w:r w:rsidRPr="00B310E9">
        <w:rPr>
          <w:rFonts w:ascii="Times New Roman" w:hAnsi="Times New Roman" w:cs="Times New Roman"/>
          <w:i/>
          <w:iCs/>
          <w:lang w:val="en-US"/>
        </w:rPr>
        <w:t>Evolution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66</w:t>
      </w:r>
      <w:r w:rsidRPr="00B310E9">
        <w:rPr>
          <w:rFonts w:ascii="Times New Roman" w:hAnsi="Times New Roman" w:cs="Times New Roman"/>
          <w:lang w:val="en-US"/>
        </w:rPr>
        <w:t>, 2216–2226.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Carotenuto, F., Barbera, C. &amp; Raia, P. (2010) Occupancy, range size, and phylogeny in Eurasian Pliocene to Recent large mammals. </w:t>
      </w:r>
      <w:r w:rsidRPr="00B310E9">
        <w:rPr>
          <w:rFonts w:ascii="Times New Roman" w:hAnsi="Times New Roman" w:cs="Times New Roman"/>
          <w:i/>
          <w:iCs/>
          <w:lang w:val="en-US"/>
        </w:rPr>
        <w:t>Paleobiology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36</w:t>
      </w:r>
      <w:r w:rsidRPr="00B310E9">
        <w:rPr>
          <w:rFonts w:ascii="Times New Roman" w:hAnsi="Times New Roman" w:cs="Times New Roman"/>
          <w:lang w:val="en-US"/>
        </w:rPr>
        <w:t>, 399–414.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Cotgreave, P. &amp; Pagel, M. (1997) </w:t>
      </w:r>
      <w:r w:rsidRPr="007D5020">
        <w:rPr>
          <w:rFonts w:ascii="Times New Roman" w:hAnsi="Times New Roman" w:cs="Times New Roman"/>
          <w:iCs/>
          <w:lang w:val="en-US"/>
        </w:rPr>
        <w:t>Predicting and understanding rarity: the comparative approach</w:t>
      </w:r>
      <w:r w:rsidRPr="00B310E9">
        <w:rPr>
          <w:rFonts w:ascii="Times New Roman" w:hAnsi="Times New Roman" w:cs="Times New Roman"/>
          <w:lang w:val="en-US"/>
        </w:rPr>
        <w:t xml:space="preserve">. </w:t>
      </w:r>
      <w:r w:rsidRPr="00B310E9">
        <w:rPr>
          <w:rFonts w:ascii="Times New Roman" w:hAnsi="Times New Roman" w:cs="Times New Roman"/>
          <w:i/>
          <w:iCs/>
          <w:lang w:val="en-US"/>
        </w:rPr>
        <w:t>The Biology of Rarity</w:t>
      </w:r>
      <w:r>
        <w:rPr>
          <w:rFonts w:ascii="Times New Roman" w:hAnsi="Times New Roman" w:cs="Times New Roman"/>
          <w:lang w:val="en-US"/>
        </w:rPr>
        <w:t xml:space="preserve"> (ed. by W.E. Kunin</w:t>
      </w:r>
      <w:r w:rsidRPr="00B310E9">
        <w:rPr>
          <w:rFonts w:ascii="Times New Roman" w:hAnsi="Times New Roman" w:cs="Times New Roman"/>
          <w:lang w:val="en-US"/>
        </w:rPr>
        <w:t xml:space="preserve"> and K.J. Gaston), pp. 237–261. Springer Netherlands, Dordrecht.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Dennis, R.L., Donato, B., Sparks, T.H. &amp; Pollard, E. (2000) Ecological correlates of island incidence and geographical range among British butterflies. </w:t>
      </w:r>
      <w:r w:rsidRPr="00B310E9">
        <w:rPr>
          <w:rFonts w:ascii="Times New Roman" w:hAnsi="Times New Roman" w:cs="Times New Roman"/>
          <w:i/>
          <w:iCs/>
          <w:lang w:val="en-US"/>
        </w:rPr>
        <w:t>Biodiversity &amp; Conservation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9</w:t>
      </w:r>
      <w:r w:rsidRPr="00B310E9">
        <w:rPr>
          <w:rFonts w:ascii="Times New Roman" w:hAnsi="Times New Roman" w:cs="Times New Roman"/>
          <w:lang w:val="en-US"/>
        </w:rPr>
        <w:t>, 343–359.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Freckleton, R.P., Harvey, P.H., Pagel, M. &amp; Losos, A.E.J.B. (2002) Phylogenetic analysis and comparative data: a test and review of evidence. </w:t>
      </w:r>
      <w:r w:rsidRPr="00B310E9">
        <w:rPr>
          <w:rFonts w:ascii="Times New Roman" w:hAnsi="Times New Roman" w:cs="Times New Roman"/>
          <w:i/>
          <w:iCs/>
          <w:lang w:val="en-US"/>
        </w:rPr>
        <w:t>The American Naturalist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160</w:t>
      </w:r>
      <w:r w:rsidRPr="00B310E9">
        <w:rPr>
          <w:rFonts w:ascii="Times New Roman" w:hAnsi="Times New Roman" w:cs="Times New Roman"/>
          <w:lang w:val="en-US"/>
        </w:rPr>
        <w:t>, 712–726.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lastRenderedPageBreak/>
        <w:t xml:space="preserve">Freckleton, R.P. &amp; Jetz, W. (2009) Space versus phylogeny: disentangling phylogenetic and spatial signals in comparative data. </w:t>
      </w:r>
      <w:r w:rsidRPr="00B310E9">
        <w:rPr>
          <w:rFonts w:ascii="Times New Roman" w:hAnsi="Times New Roman" w:cs="Times New Roman"/>
          <w:i/>
          <w:iCs/>
          <w:lang w:val="en-US"/>
        </w:rPr>
        <w:t>Proceedings of the Royal Society B: Biological Sciences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276</w:t>
      </w:r>
      <w:r w:rsidRPr="00B310E9">
        <w:rPr>
          <w:rFonts w:ascii="Times New Roman" w:hAnsi="Times New Roman" w:cs="Times New Roman"/>
          <w:lang w:val="en-US"/>
        </w:rPr>
        <w:t>, 21–30.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Hopkins, M.J. (2011) How species longevity, intraspecific morphological variation, and geographic range size are related: a comparison using Late Cambrian trilobites. </w:t>
      </w:r>
      <w:r w:rsidRPr="00B310E9">
        <w:rPr>
          <w:rFonts w:ascii="Times New Roman" w:hAnsi="Times New Roman" w:cs="Times New Roman"/>
          <w:i/>
          <w:iCs/>
          <w:lang w:val="en-US"/>
        </w:rPr>
        <w:t>Evolution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65</w:t>
      </w:r>
      <w:r w:rsidRPr="00B310E9">
        <w:rPr>
          <w:rFonts w:ascii="Times New Roman" w:hAnsi="Times New Roman" w:cs="Times New Roman"/>
          <w:lang w:val="en-US"/>
        </w:rPr>
        <w:t>, 3253–3273.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Hunt, G., Roy, K. &amp; Jablonski, D. (2005) Species-level heritability reaffirmed: a comment on “On the heritability of geographic range sizes.” </w:t>
      </w:r>
      <w:r w:rsidRPr="00B310E9">
        <w:rPr>
          <w:rFonts w:ascii="Times New Roman" w:hAnsi="Times New Roman" w:cs="Times New Roman"/>
          <w:i/>
          <w:iCs/>
          <w:lang w:val="en-US"/>
        </w:rPr>
        <w:t>The American Naturalist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166</w:t>
      </w:r>
      <w:r w:rsidRPr="00B310E9">
        <w:rPr>
          <w:rFonts w:ascii="Times New Roman" w:hAnsi="Times New Roman" w:cs="Times New Roman"/>
          <w:lang w:val="en-US"/>
        </w:rPr>
        <w:t>, 129–135.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Jablonski, D. (1987) Heritability at the species level: analysis of geographic ranges of Cretaceous mollusks. </w:t>
      </w:r>
      <w:r w:rsidRPr="00B310E9">
        <w:rPr>
          <w:rFonts w:ascii="Times New Roman" w:hAnsi="Times New Roman" w:cs="Times New Roman"/>
          <w:i/>
          <w:iCs/>
          <w:lang w:val="en-US"/>
        </w:rPr>
        <w:t>Science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238</w:t>
      </w:r>
      <w:r w:rsidRPr="00B310E9">
        <w:rPr>
          <w:rFonts w:ascii="Times New Roman" w:hAnsi="Times New Roman" w:cs="Times New Roman"/>
          <w:lang w:val="en-US"/>
        </w:rPr>
        <w:t>, 360–363.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Johnson, C.N. (1998) Species extinction and the relationship between distribution and abundance. </w:t>
      </w:r>
      <w:r w:rsidRPr="00B310E9">
        <w:rPr>
          <w:rFonts w:ascii="Times New Roman" w:hAnsi="Times New Roman" w:cs="Times New Roman"/>
          <w:i/>
          <w:iCs/>
          <w:lang w:val="en-US"/>
        </w:rPr>
        <w:t>Nature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394</w:t>
      </w:r>
      <w:r w:rsidRPr="00B310E9">
        <w:rPr>
          <w:rFonts w:ascii="Times New Roman" w:hAnsi="Times New Roman" w:cs="Times New Roman"/>
          <w:lang w:val="en-US"/>
        </w:rPr>
        <w:t>, 272–274.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Jones, K.E., Sechrest, W. &amp; Gittleman, J.L. (2005) </w:t>
      </w:r>
      <w:r w:rsidRPr="002845FF">
        <w:rPr>
          <w:rFonts w:ascii="Times New Roman" w:hAnsi="Times New Roman" w:cs="Times New Roman"/>
          <w:iCs/>
          <w:lang w:val="en-US"/>
        </w:rPr>
        <w:t>Age and area revisited: identifying global patterns and implications for conservation</w:t>
      </w:r>
      <w:r w:rsidRPr="002845FF">
        <w:rPr>
          <w:rFonts w:ascii="Times New Roman" w:hAnsi="Times New Roman" w:cs="Times New Roman"/>
          <w:lang w:val="en-US"/>
        </w:rPr>
        <w:t xml:space="preserve">. </w:t>
      </w:r>
      <w:r w:rsidRPr="00B310E9">
        <w:rPr>
          <w:rFonts w:ascii="Times New Roman" w:hAnsi="Times New Roman" w:cs="Times New Roman"/>
          <w:i/>
          <w:iCs/>
          <w:lang w:val="en-US"/>
        </w:rPr>
        <w:t>Phylogeny and Conservation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504499">
        <w:rPr>
          <w:rFonts w:ascii="Times New Roman" w:hAnsi="Times New Roman" w:cs="Times New Roman"/>
          <w:iCs/>
          <w:lang w:val="en-US"/>
        </w:rPr>
        <w:t>(ed. by A. Purvis, J.L. Gittleman and T. Brooks)</w:t>
      </w:r>
      <w:r w:rsidRPr="00B310E9">
        <w:rPr>
          <w:rFonts w:ascii="Times New Roman" w:hAnsi="Times New Roman" w:cs="Times New Roman"/>
          <w:lang w:val="en-US"/>
        </w:rPr>
        <w:t>, pp. 141–165. Cambridge University Press</w:t>
      </w:r>
      <w:r w:rsidR="007D5020">
        <w:rPr>
          <w:rFonts w:ascii="Times New Roman" w:hAnsi="Times New Roman" w:cs="Times New Roman"/>
          <w:lang w:val="en-US"/>
        </w:rPr>
        <w:t>, Cambridge</w:t>
      </w:r>
      <w:r w:rsidRPr="00B310E9">
        <w:rPr>
          <w:rFonts w:ascii="Times New Roman" w:hAnsi="Times New Roman" w:cs="Times New Roman"/>
          <w:lang w:val="en-US"/>
        </w:rPr>
        <w:t>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Machac, A., Zrzavý, J. &amp; Storch, D. (2011) Range size heritability in Carnivora is driven by geographic constraints. </w:t>
      </w:r>
      <w:r w:rsidRPr="00B310E9">
        <w:rPr>
          <w:rFonts w:ascii="Times New Roman" w:hAnsi="Times New Roman" w:cs="Times New Roman"/>
          <w:i/>
          <w:iCs/>
          <w:lang w:val="en-US"/>
        </w:rPr>
        <w:t>The American Naturalist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177</w:t>
      </w:r>
      <w:r w:rsidRPr="00B310E9">
        <w:rPr>
          <w:rFonts w:ascii="Times New Roman" w:hAnsi="Times New Roman" w:cs="Times New Roman"/>
          <w:lang w:val="en-US"/>
        </w:rPr>
        <w:t>, 767–779.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Morin, X. &amp; Lechowicz, M.J. (2013) Niche breadth and range area in North American trees. </w:t>
      </w:r>
      <w:r w:rsidRPr="00B310E9">
        <w:rPr>
          <w:rFonts w:ascii="Times New Roman" w:hAnsi="Times New Roman" w:cs="Times New Roman"/>
          <w:i/>
          <w:iCs/>
          <w:lang w:val="en-US"/>
        </w:rPr>
        <w:t>Ecography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36</w:t>
      </w:r>
      <w:r w:rsidRPr="00B310E9">
        <w:rPr>
          <w:rFonts w:ascii="Times New Roman" w:hAnsi="Times New Roman" w:cs="Times New Roman"/>
          <w:lang w:val="en-US"/>
        </w:rPr>
        <w:t>, 300–312.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Mouillot, D. &amp; Gaston, K. (2009) Spatial overlap enhances geographic range size conservatism. </w:t>
      </w:r>
      <w:r w:rsidRPr="00B310E9">
        <w:rPr>
          <w:rFonts w:ascii="Times New Roman" w:hAnsi="Times New Roman" w:cs="Times New Roman"/>
          <w:i/>
          <w:iCs/>
          <w:lang w:val="en-US"/>
        </w:rPr>
        <w:t>Ecography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32</w:t>
      </w:r>
      <w:r w:rsidRPr="00B310E9">
        <w:rPr>
          <w:rFonts w:ascii="Times New Roman" w:hAnsi="Times New Roman" w:cs="Times New Roman"/>
          <w:lang w:val="en-US"/>
        </w:rPr>
        <w:t>, 671–675.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Pyron, M. (1999) Relationships between geographical range size, body size, local abundance, and habitat breadth in North American suckers and sunfishes. </w:t>
      </w:r>
      <w:r w:rsidRPr="00B310E9">
        <w:rPr>
          <w:rFonts w:ascii="Times New Roman" w:hAnsi="Times New Roman" w:cs="Times New Roman"/>
          <w:i/>
          <w:iCs/>
          <w:lang w:val="en-US"/>
        </w:rPr>
        <w:t>Journal of Biogeography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26</w:t>
      </w:r>
      <w:r w:rsidRPr="00B310E9">
        <w:rPr>
          <w:rFonts w:ascii="Times New Roman" w:hAnsi="Times New Roman" w:cs="Times New Roman"/>
          <w:lang w:val="en-US"/>
        </w:rPr>
        <w:t>, 549–558.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Qian, H. &amp; Ricklefs, R.E. (2004) Geographical distribution and ecological conservatism of disjunct genera of vascular plants in eastern Asia and eastern North America. </w:t>
      </w:r>
      <w:r w:rsidRPr="00B310E9">
        <w:rPr>
          <w:rFonts w:ascii="Times New Roman" w:hAnsi="Times New Roman" w:cs="Times New Roman"/>
          <w:i/>
          <w:iCs/>
          <w:lang w:val="en-US"/>
        </w:rPr>
        <w:t>Journal of Ecology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92</w:t>
      </w:r>
      <w:r w:rsidRPr="00B310E9">
        <w:rPr>
          <w:rFonts w:ascii="Times New Roman" w:hAnsi="Times New Roman" w:cs="Times New Roman"/>
          <w:lang w:val="en-US"/>
        </w:rPr>
        <w:t>, 253–265.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Waldron, A. (2007) Null models of geographic range size evolution reaffirm its heritability. </w:t>
      </w:r>
      <w:r w:rsidRPr="00B310E9">
        <w:rPr>
          <w:rFonts w:ascii="Times New Roman" w:hAnsi="Times New Roman" w:cs="Times New Roman"/>
          <w:i/>
          <w:iCs/>
          <w:lang w:val="en-US"/>
        </w:rPr>
        <w:t>The American Naturalist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170</w:t>
      </w:r>
      <w:r w:rsidRPr="00B310E9">
        <w:rPr>
          <w:rFonts w:ascii="Times New Roman" w:hAnsi="Times New Roman" w:cs="Times New Roman"/>
          <w:lang w:val="en-US"/>
        </w:rPr>
        <w:t>, 221–231.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Webb, T.J. &amp; Gaston, K.J. (2003) On the heritability of geographic range sizes. </w:t>
      </w:r>
      <w:r w:rsidRPr="00B310E9">
        <w:rPr>
          <w:rFonts w:ascii="Times New Roman" w:hAnsi="Times New Roman" w:cs="Times New Roman"/>
          <w:i/>
          <w:iCs/>
          <w:lang w:val="en-US"/>
        </w:rPr>
        <w:t>The American Naturalist</w:t>
      </w:r>
      <w:r w:rsidRPr="00B310E9">
        <w:rPr>
          <w:rFonts w:ascii="Times New Roman" w:hAnsi="Times New Roman" w:cs="Times New Roman"/>
          <w:lang w:val="en-US"/>
        </w:rPr>
        <w:t xml:space="preserve">, </w:t>
      </w:r>
      <w:r w:rsidRPr="00474AAF">
        <w:rPr>
          <w:rFonts w:ascii="Times New Roman" w:hAnsi="Times New Roman" w:cs="Times New Roman"/>
          <w:bCs/>
          <w:i/>
          <w:lang w:val="en-US"/>
        </w:rPr>
        <w:t>161</w:t>
      </w:r>
      <w:r w:rsidRPr="00B310E9">
        <w:rPr>
          <w:rFonts w:ascii="Times New Roman" w:hAnsi="Times New Roman" w:cs="Times New Roman"/>
          <w:lang w:val="en-US"/>
        </w:rPr>
        <w:t>, 553–566.</w:t>
      </w:r>
    </w:p>
    <w:p w:rsidR="0022169E" w:rsidRPr="00B310E9" w:rsidRDefault="0022169E" w:rsidP="001D4128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310E9">
        <w:rPr>
          <w:rFonts w:ascii="Times New Roman" w:hAnsi="Times New Roman" w:cs="Times New Roman"/>
          <w:lang w:val="en-US"/>
        </w:rPr>
        <w:t xml:space="preserve">Webb, T.J., Kershaw, M. &amp; Gaston, K.J. (2001) </w:t>
      </w:r>
      <w:r w:rsidRPr="007D5020">
        <w:rPr>
          <w:rFonts w:ascii="Times New Roman" w:hAnsi="Times New Roman" w:cs="Times New Roman"/>
          <w:iCs/>
          <w:lang w:val="en-US"/>
        </w:rPr>
        <w:t>Rarity and Phylogeny in Birds</w:t>
      </w:r>
      <w:r w:rsidRPr="00B310E9">
        <w:rPr>
          <w:rFonts w:ascii="Times New Roman" w:hAnsi="Times New Roman" w:cs="Times New Roman"/>
          <w:lang w:val="en-US"/>
        </w:rPr>
        <w:t xml:space="preserve">. </w:t>
      </w:r>
      <w:r w:rsidRPr="00B310E9">
        <w:rPr>
          <w:rFonts w:ascii="Times New Roman" w:hAnsi="Times New Roman" w:cs="Times New Roman"/>
          <w:i/>
          <w:iCs/>
          <w:lang w:val="en-US"/>
        </w:rPr>
        <w:t>Biotic Homogenization</w:t>
      </w:r>
      <w:r>
        <w:rPr>
          <w:rFonts w:ascii="Times New Roman" w:hAnsi="Times New Roman" w:cs="Times New Roman"/>
          <w:lang w:val="en-US"/>
        </w:rPr>
        <w:t xml:space="preserve"> (ed. by J.L. Lockwood</w:t>
      </w:r>
      <w:r w:rsidRPr="00B310E9">
        <w:rPr>
          <w:rFonts w:ascii="Times New Roman" w:hAnsi="Times New Roman" w:cs="Times New Roman"/>
          <w:lang w:val="en-US"/>
        </w:rPr>
        <w:t xml:space="preserve"> and M.L. McKinney), pp</w:t>
      </w:r>
      <w:r>
        <w:rPr>
          <w:rFonts w:ascii="Times New Roman" w:hAnsi="Times New Roman" w:cs="Times New Roman"/>
          <w:lang w:val="en-US"/>
        </w:rPr>
        <w:t>. 57–80. Springer US, Boston</w:t>
      </w:r>
      <w:r w:rsidRPr="00B310E9">
        <w:rPr>
          <w:rFonts w:ascii="Times New Roman" w:hAnsi="Times New Roman" w:cs="Times New Roman"/>
          <w:lang w:val="en-US"/>
        </w:rPr>
        <w:t>.</w:t>
      </w:r>
    </w:p>
    <w:p w:rsidR="0022169E" w:rsidRPr="0022169E" w:rsidRDefault="0022169E" w:rsidP="0022169E">
      <w:pPr>
        <w:rPr>
          <w:lang w:val="en-US"/>
        </w:rPr>
      </w:pPr>
    </w:p>
    <w:p w:rsidR="006E0D5D" w:rsidRDefault="006E0D5D" w:rsidP="005327F9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E934AA" w:rsidRDefault="00094FB2" w:rsidP="00532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19"/>
          <w:lang w:val="en-US"/>
        </w:rPr>
      </w:pPr>
      <w:r w:rsidRPr="00094FB2">
        <w:rPr>
          <w:rFonts w:ascii="Times New Roman" w:hAnsi="Times New Roman" w:cs="Times New Roman"/>
          <w:b/>
          <w:szCs w:val="19"/>
          <w:lang w:val="en-US"/>
        </w:rPr>
        <w:lastRenderedPageBreak/>
        <w:t>Table S1</w:t>
      </w:r>
      <w:r w:rsidR="009F4C58">
        <w:rPr>
          <w:rFonts w:ascii="Times New Roman" w:hAnsi="Times New Roman" w:cs="Times New Roman"/>
          <w:b/>
          <w:szCs w:val="19"/>
          <w:lang w:val="en-US"/>
        </w:rPr>
        <w:t>.1</w:t>
      </w:r>
      <w:r>
        <w:rPr>
          <w:rFonts w:ascii="Times New Roman" w:hAnsi="Times New Roman" w:cs="Times New Roman"/>
          <w:szCs w:val="19"/>
          <w:lang w:val="en-US"/>
        </w:rPr>
        <w:t xml:space="preserve"> </w:t>
      </w:r>
      <w:r w:rsidRPr="008F05D7"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="00F730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5D7">
        <w:rPr>
          <w:rFonts w:ascii="Times New Roman" w:hAnsi="Times New Roman" w:cs="Times New Roman"/>
          <w:sz w:val="24"/>
          <w:szCs w:val="24"/>
          <w:lang w:val="en-US"/>
        </w:rPr>
        <w:t>eocoordinates of the 104 studied fossil localities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636"/>
        <w:gridCol w:w="1557"/>
        <w:gridCol w:w="1058"/>
        <w:gridCol w:w="1708"/>
        <w:gridCol w:w="1636"/>
      </w:tblGrid>
      <w:tr w:rsidR="002308B0" w:rsidRPr="009F4C58" w:rsidTr="00353926">
        <w:trPr>
          <w:trHeight w:val="417"/>
        </w:trPr>
        <w:tc>
          <w:tcPr>
            <w:tcW w:w="1480" w:type="dxa"/>
            <w:shd w:val="clear" w:color="auto" w:fill="BFBFBF" w:themeFill="background1" w:themeFillShade="BF"/>
            <w:noWrap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Locality code</w:t>
            </w:r>
          </w:p>
        </w:tc>
        <w:tc>
          <w:tcPr>
            <w:tcW w:w="1640" w:type="dxa"/>
            <w:shd w:val="clear" w:color="auto" w:fill="BFBFBF" w:themeFill="background1" w:themeFillShade="BF"/>
            <w:noWrap/>
            <w:vAlign w:val="center"/>
            <w:hideMark/>
          </w:tcPr>
          <w:p w:rsidR="002308B0" w:rsidRPr="009F4C58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Locality name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Country</w:t>
            </w:r>
          </w:p>
        </w:tc>
        <w:tc>
          <w:tcPr>
            <w:tcW w:w="1060" w:type="dxa"/>
            <w:shd w:val="clear" w:color="auto" w:fill="BFBFBF" w:themeFill="background1" w:themeFillShade="BF"/>
            <w:noWrap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Province</w:t>
            </w:r>
          </w:p>
        </w:tc>
        <w:tc>
          <w:tcPr>
            <w:tcW w:w="1660" w:type="dxa"/>
            <w:shd w:val="clear" w:color="auto" w:fill="BFBFBF" w:themeFill="background1" w:themeFillShade="BF"/>
            <w:noWrap/>
            <w:vAlign w:val="center"/>
            <w:hideMark/>
          </w:tcPr>
          <w:p w:rsidR="002308B0" w:rsidRPr="009F4C58" w:rsidRDefault="002308B0" w:rsidP="00DE46E8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Pal</w:t>
            </w:r>
            <w:r w:rsidR="00F730EA"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a</w:t>
            </w: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eolongitude</w:t>
            </w:r>
          </w:p>
        </w:tc>
        <w:tc>
          <w:tcPr>
            <w:tcW w:w="1640" w:type="dxa"/>
            <w:shd w:val="clear" w:color="auto" w:fill="BFBFBF" w:themeFill="background1" w:themeFillShade="BF"/>
            <w:noWrap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Pal</w:t>
            </w:r>
            <w:r w:rsidR="00F730EA"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a</w:t>
            </w:r>
            <w:r w:rsidRPr="009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eolatitude</w:t>
            </w:r>
          </w:p>
        </w:tc>
      </w:tr>
      <w:tr w:rsidR="002308B0" w:rsidRPr="009F4C58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Ab-LEFT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9F4C58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Lefterochori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ALBANIA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-3.14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9F4C58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F4C58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26.02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F4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Ag-C</w:t>
            </w: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HEL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bottom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Massif de Chellata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ALGERIA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-16.25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bottom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37.77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Al-AMBE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Amberg (Bavaria)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49.45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Al-BAVA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Bavarian Alps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12.25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46.48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Al-DONA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Donaueschingen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48.00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Al-GOTT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Göttingen (N Kassel)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10.07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51.78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Al-OSNA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Osnabrück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52.27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Al-OSTR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Östringen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8.71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49.22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Al-PLIE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Pliensbach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48.63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Al-SGIT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Salzgitter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10.53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52.27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Al-WUTA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Wutachgebiet, Klettgau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47.83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Au-ENZE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Enzesfeld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AUSTRIA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14.75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41.92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Au-LIEN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AUSTRIA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42.26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Au-SALZ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Salzburg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AUSTRIA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11.48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43.16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Au-VORA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Vorarlberg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AUSTRIA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42.37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Bu-BALK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Occidental Balkans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BULGARIA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18.05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47.57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Bu-KOTE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Klippe de Kotel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BULGARIA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46.53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CH-BIVI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Bivio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SWITZERLAND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12.56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44.76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CH-HELV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Helvetic (Valais, Glaris)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SWITZERLAND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44.9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CH-KLSC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Klippes central Switzerland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SWITZERLAND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9.81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44.61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CH-PRSU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Swiss Prealps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SWITZERLAND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8.99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44.56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CH-TESS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Tessin, Brianza, Varèse, Como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SWITZERLAND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-1.75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38.85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Da-BORN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Bornholm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DENMARK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55.1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Es-ASTU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Asturies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-9.99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49.49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Es-BEAR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Betic Archidona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-11.18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42.85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Es-BEJA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Betic Jaen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-10.4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43.18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Es-BENE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Betic NE (Almeria)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-9.52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43.51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Es-BIDA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Bidassoa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-8.22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47.43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Es-IBNE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Iberic NE (Zaragoza)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-8.25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44.56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Es-IBNW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Iberic NW (Logrono)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-8.59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46.19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Es-SIMA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Sierras marginales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-5.51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44.63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Fr-ALNO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Alsace Nord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7.67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48.9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Fr-ALSU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Alsace Sud, Belfort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47.75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Fr-ARIE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Ariège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42.97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Fr-AUXO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Auxois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47.53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Fr-BASQ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Pays Basque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-7.69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Fr-BAZO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Bazois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47.25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Fr-BUGE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Bugey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5.43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45.95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Fr-CAUE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Causses Est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44.38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Fr-CAUS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Causses Sud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2.97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43.97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Fr-CAUW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Causses Ouest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44.18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Fr-CHAR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Charollais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4.23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46.58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Fr-CHER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Cher, Indre, SW Nièvre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46.72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Fr-CORB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Corbières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43.22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Fr-DAUP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Bassin dauphinois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44.33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Fr-DIBA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Côtes Dijonnaise Beaunoise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4.73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47.05</w:t>
            </w:r>
          </w:p>
        </w:tc>
      </w:tr>
      <w:tr w:rsidR="002308B0" w:rsidRPr="008F05D7" w:rsidTr="00353926">
        <w:trPr>
          <w:trHeight w:val="525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Fr-ENCO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Massif des Encombres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44.26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Fr-GARD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Gard, Ardèche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4.08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44.08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Fr-JURA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5.88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46.95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Fr-LORR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Lorraine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6.2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48.68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Fr-LYON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Lyonnais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45.8</w:t>
            </w:r>
          </w:p>
        </w:tc>
      </w:tr>
      <w:tr w:rsidR="002308B0" w:rsidRPr="008F05D7" w:rsidTr="00353926">
        <w:trPr>
          <w:trHeight w:val="78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Fr-MACH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Côtes Maconnaise Chalonnaise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4.68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46.75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Fr-NORM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49.18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Fr-OISA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Oisans Nord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7.62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43.98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Fr-PRFR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F46E63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French Prealps</w:t>
            </w:r>
            <w:r w:rsidR="002308B0"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&amp; klippes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45.73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Fr-QUER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Quercy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44.07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Fr-RODE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Détroit de Rodez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44.33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noWrap/>
            <w:vAlign w:val="bottom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Gl-JAME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bottom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Jameson Land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GREENLAND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4.74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64.69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Gr-EPIR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Epire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GREECE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Ho-BAKO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Bakony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HUNGARY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10.09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40.59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Ho-VILL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Villany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HUNGARY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44.51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It-CAGL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Cagli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-4.86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33.49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It-CAMA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Campiglia Marittima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-5.44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34.48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It-CETO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Monte di Cetona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-5.12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34.02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It-CORF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Corfino (Toscane)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-5.63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35.14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It-FAIT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Monte Faito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-5.5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33.66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It-FILE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Filettino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-4.8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32.45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It-LOMB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Lombardie (Brescia)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F46E63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</w:t>
            </w:r>
            <w:r w:rsidR="002308B0"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00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37.97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It-MACE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Macerata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-4.65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33.08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It-TAOR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Taormina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-4.41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27.88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Lu-LUXE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Luxembourg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LUXEMBOURG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49.61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Ma-BSOR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Oriental Beni Snassen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MOROCCO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-22.66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41.44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Ma-HABM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F46E63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High Atlas, </w:t>
            </w:r>
            <w:r w:rsidR="002308B0"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Beni-Mellal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MOROCCO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-23.95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39.94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Ma-HABR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High Atlas (Jb Bou-Rharraf)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MOROCCO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-21.01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38.78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Ma-HAMI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F46E63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High Atlas, </w:t>
            </w:r>
            <w:r w:rsidR="002308B0"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Midelt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MOROCCO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-22.56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39.06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Ma-MASE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Moyen Atlas septentrional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MOROCCO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-23.58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40.83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Ma-SRIF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Rides Sud-rifaines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MOROCCO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-27.86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42.1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Pl-SWIN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Swinoujscie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POLAND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14.25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53.92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Po-ALGA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Algarve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PORTUGAL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-18.92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44.73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Po-BEIR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Beira Maritima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PORTUGAL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-16.24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47.12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Po-COIM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Coimbra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PORTUGAL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-15.66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47.42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Ro-BANA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Banat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ROMANIA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20.86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46.72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Ro-BIHO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Bihor (SE Apuseni Mts)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ROMANIA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48.83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Ro-DOBR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Dobrogea Nord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ROMANIA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25.27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47.24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Ro-PADU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Padurea (NE Apuseni Mts)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ROMANIA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49.45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Ro-PERS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Persani Mts (Carpates)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ROMANIA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22.32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46.99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Sl-FATR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Fatra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SLOVAKIA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Sl-KSLO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Karst slovaque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SLOVAKIA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13.42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41.09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Su-SKAN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Skanie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SWEDEN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12.98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55.57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Ts-ZAGH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Zaghouan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TUNISIA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-13.09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36.6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Tu-LYCI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Nappes lyciennes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TURKEY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25.29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Tu-POAK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Pontides Ak Dagh (Amasia)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TURKEY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36.31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41.47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Tu-POAN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Pontides Ankara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TURKEY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41.75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Tu-PONE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Pontides NE (Kirikli)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TURKEY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40.59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40.82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Tu-PONW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Pontides W (Bilecik)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TURKEY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41.95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UK-DORS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Dorset coast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-2.9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50.74</w:t>
            </w:r>
          </w:p>
        </w:tc>
      </w:tr>
      <w:tr w:rsidR="002308B0" w:rsidRPr="008F05D7" w:rsidTr="00353926">
        <w:trPr>
          <w:trHeight w:val="57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UK-GLOU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Gloucestershire, Oxford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51.9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UK-LEIC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Leicestershire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-1.14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52.64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UK-LINC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Lincolnshire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53.23</w:t>
            </w:r>
          </w:p>
        </w:tc>
      </w:tr>
      <w:tr w:rsidR="002308B0" w:rsidRPr="008F05D7" w:rsidTr="00353926">
        <w:trPr>
          <w:trHeight w:val="78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UK-MIDL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F46E63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Midlands, Northamp., </w:t>
            </w:r>
            <w:r w:rsidR="002308B0"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Warick.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-1.17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52.34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UK-MULL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Mull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-5.71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56.47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UK-RAAS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Raasay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-6.19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57.41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UK-SOME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Somerset, Avon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-2.64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51.4</w:t>
            </w:r>
          </w:p>
        </w:tc>
      </w:tr>
      <w:tr w:rsidR="002308B0" w:rsidRPr="008F05D7" w:rsidTr="00353926">
        <w:trPr>
          <w:trHeight w:val="300"/>
        </w:trPr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UK-YORK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F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Yorkshire coast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NWE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-0.53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2308B0" w:rsidRPr="008F05D7" w:rsidRDefault="002308B0" w:rsidP="005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F05D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54.44</w:t>
            </w:r>
          </w:p>
        </w:tc>
      </w:tr>
    </w:tbl>
    <w:p w:rsidR="002308B0" w:rsidRDefault="002308B0" w:rsidP="00532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19"/>
          <w:lang w:val="en-US"/>
        </w:rPr>
      </w:pPr>
    </w:p>
    <w:p w:rsidR="002308B0" w:rsidRDefault="002308B0" w:rsidP="00532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19"/>
          <w:lang w:val="en-US"/>
        </w:rPr>
      </w:pPr>
    </w:p>
    <w:p w:rsidR="002308B0" w:rsidRPr="002308B0" w:rsidRDefault="002308B0" w:rsidP="00532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19"/>
          <w:lang w:val="en-US"/>
        </w:rPr>
      </w:pPr>
      <w:r w:rsidRPr="002308B0">
        <w:rPr>
          <w:rFonts w:ascii="Times New Roman" w:hAnsi="Times New Roman" w:cs="Times New Roman"/>
          <w:b/>
          <w:szCs w:val="19"/>
          <w:lang w:val="en-US"/>
        </w:rPr>
        <w:t>Calculation method</w:t>
      </w:r>
    </w:p>
    <w:p w:rsidR="00921FE6" w:rsidRDefault="00B25C7C" w:rsidP="00173A1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19"/>
          <w:lang w:val="en-US"/>
        </w:rPr>
      </w:pPr>
      <w:r w:rsidRPr="00B25C7C">
        <w:rPr>
          <w:rFonts w:ascii="Times New Roman" w:hAnsi="Times New Roman" w:cs="Times New Roman"/>
          <w:szCs w:val="19"/>
          <w:lang w:val="en-US"/>
        </w:rPr>
        <w:t>Geographic distances a</w:t>
      </w:r>
      <w:r>
        <w:rPr>
          <w:rFonts w:ascii="Times New Roman" w:hAnsi="Times New Roman" w:cs="Times New Roman"/>
          <w:szCs w:val="19"/>
          <w:lang w:val="en-US"/>
        </w:rPr>
        <w:t xml:space="preserve">mong localities were calculated </w:t>
      </w:r>
      <w:r w:rsidRPr="00B25C7C">
        <w:rPr>
          <w:rFonts w:ascii="Times New Roman" w:hAnsi="Times New Roman" w:cs="Times New Roman"/>
          <w:szCs w:val="19"/>
          <w:lang w:val="en-US"/>
        </w:rPr>
        <w:t>with the following pr</w:t>
      </w:r>
      <w:r>
        <w:rPr>
          <w:rFonts w:ascii="Times New Roman" w:hAnsi="Times New Roman" w:cs="Times New Roman"/>
          <w:szCs w:val="19"/>
          <w:lang w:val="en-US"/>
        </w:rPr>
        <w:t xml:space="preserve">ocedure. Present-day geographic </w:t>
      </w:r>
      <w:r w:rsidRPr="00B25C7C">
        <w:rPr>
          <w:rFonts w:ascii="Times New Roman" w:hAnsi="Times New Roman" w:cs="Times New Roman"/>
          <w:szCs w:val="19"/>
          <w:lang w:val="en-US"/>
        </w:rPr>
        <w:t>coordinates and the corre</w:t>
      </w:r>
      <w:r w:rsidR="00E934AA">
        <w:rPr>
          <w:rFonts w:ascii="Times New Roman" w:hAnsi="Times New Roman" w:cs="Times New Roman"/>
          <w:szCs w:val="19"/>
          <w:lang w:val="en-US"/>
        </w:rPr>
        <w:t>sponding pal</w:t>
      </w:r>
      <w:r w:rsidR="00F730EA">
        <w:rPr>
          <w:rFonts w:ascii="Times New Roman" w:hAnsi="Times New Roman" w:cs="Times New Roman"/>
          <w:szCs w:val="19"/>
          <w:lang w:val="en-US"/>
        </w:rPr>
        <w:t>a</w:t>
      </w:r>
      <w:r>
        <w:rPr>
          <w:rFonts w:ascii="Times New Roman" w:hAnsi="Times New Roman" w:cs="Times New Roman"/>
          <w:szCs w:val="19"/>
          <w:lang w:val="en-US"/>
        </w:rPr>
        <w:t xml:space="preserve">eogeographic blocs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were recorded for each </w:t>
      </w:r>
      <w:r>
        <w:rPr>
          <w:rFonts w:ascii="Times New Roman" w:hAnsi="Times New Roman" w:cs="Times New Roman"/>
          <w:szCs w:val="19"/>
          <w:lang w:val="en-US"/>
        </w:rPr>
        <w:t xml:space="preserve">locality. The paths of the main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blocs (Eurasia, Iberia, </w:t>
      </w:r>
      <w:r>
        <w:rPr>
          <w:rFonts w:ascii="Times New Roman" w:hAnsi="Times New Roman" w:cs="Times New Roman"/>
          <w:szCs w:val="19"/>
          <w:lang w:val="en-US"/>
        </w:rPr>
        <w:t xml:space="preserve">Africa) are well constrained by </w:t>
      </w:r>
      <w:r w:rsidRPr="00B25C7C">
        <w:rPr>
          <w:rFonts w:ascii="Times New Roman" w:hAnsi="Times New Roman" w:cs="Times New Roman"/>
          <w:szCs w:val="19"/>
          <w:lang w:val="en-US"/>
        </w:rPr>
        <w:t>oceanic magnetic anomali</w:t>
      </w:r>
      <w:r>
        <w:rPr>
          <w:rFonts w:ascii="Times New Roman" w:hAnsi="Times New Roman" w:cs="Times New Roman"/>
          <w:szCs w:val="19"/>
          <w:lang w:val="en-US"/>
        </w:rPr>
        <w:t xml:space="preserve">es, but only from the Bathonian </w:t>
      </w:r>
      <w:r w:rsidRPr="00B25C7C">
        <w:rPr>
          <w:rFonts w:ascii="Times New Roman" w:hAnsi="Times New Roman" w:cs="Times New Roman"/>
          <w:szCs w:val="19"/>
          <w:lang w:val="en-US"/>
        </w:rPr>
        <w:t>(c. 168 Ma) to the Rec</w:t>
      </w:r>
      <w:r>
        <w:rPr>
          <w:rFonts w:ascii="Times New Roman" w:hAnsi="Times New Roman" w:cs="Times New Roman"/>
          <w:szCs w:val="19"/>
          <w:lang w:val="en-US"/>
        </w:rPr>
        <w:t xml:space="preserve">ent. Since no major movement of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the Pangea occurred </w:t>
      </w:r>
      <w:r w:rsidR="00E934AA">
        <w:rPr>
          <w:rFonts w:ascii="Times New Roman" w:hAnsi="Times New Roman" w:cs="Times New Roman"/>
          <w:szCs w:val="19"/>
          <w:lang w:val="en-US"/>
        </w:rPr>
        <w:t>much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 before Callovian times (c</w:t>
      </w:r>
      <w:r>
        <w:rPr>
          <w:rFonts w:ascii="Times New Roman" w:hAnsi="Times New Roman" w:cs="Times New Roman"/>
          <w:szCs w:val="19"/>
          <w:lang w:val="en-US"/>
        </w:rPr>
        <w:t xml:space="preserve">. </w:t>
      </w:r>
      <w:r w:rsidRPr="00B25C7C">
        <w:rPr>
          <w:rFonts w:ascii="Times New Roman" w:hAnsi="Times New Roman" w:cs="Times New Roman"/>
          <w:szCs w:val="19"/>
          <w:lang w:val="en-US"/>
        </w:rPr>
        <w:t>166 Ma), we assume that during the early Pliensbachian,</w:t>
      </w:r>
      <w:r>
        <w:rPr>
          <w:rFonts w:ascii="Times New Roman" w:hAnsi="Times New Roman" w:cs="Times New Roman"/>
          <w:szCs w:val="19"/>
          <w:lang w:val="en-US"/>
        </w:rPr>
        <w:t xml:space="preserve">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the African, Eurasian and </w:t>
      </w:r>
      <w:r>
        <w:rPr>
          <w:rFonts w:ascii="Times New Roman" w:hAnsi="Times New Roman" w:cs="Times New Roman"/>
          <w:szCs w:val="19"/>
          <w:lang w:val="en-US"/>
        </w:rPr>
        <w:t xml:space="preserve">Iberian plates were in the same </w:t>
      </w:r>
      <w:r w:rsidRPr="00B25C7C">
        <w:rPr>
          <w:rFonts w:ascii="Times New Roman" w:hAnsi="Times New Roman" w:cs="Times New Roman"/>
          <w:szCs w:val="19"/>
          <w:lang w:val="en-US"/>
        </w:rPr>
        <w:t>relative position than du</w:t>
      </w:r>
      <w:r>
        <w:rPr>
          <w:rFonts w:ascii="Times New Roman" w:hAnsi="Times New Roman" w:cs="Times New Roman"/>
          <w:szCs w:val="19"/>
          <w:lang w:val="en-US"/>
        </w:rPr>
        <w:t xml:space="preserve">ring the Bathonian. We used the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rotation poles established by </w:t>
      </w:r>
      <w:r w:rsidR="00E934AA" w:rsidRPr="00E934AA">
        <w:rPr>
          <w:rFonts w:ascii="Times New Roman" w:hAnsi="Times New Roman" w:cs="Times New Roman"/>
          <w:szCs w:val="24"/>
          <w:lang w:val="en-US"/>
        </w:rPr>
        <w:t xml:space="preserve">Müller </w:t>
      </w:r>
      <w:r w:rsidR="00E934AA" w:rsidRPr="00AD2688">
        <w:rPr>
          <w:rFonts w:ascii="Times New Roman" w:hAnsi="Times New Roman" w:cs="Times New Roman"/>
          <w:iCs/>
          <w:szCs w:val="24"/>
          <w:lang w:val="en-US"/>
        </w:rPr>
        <w:t>et al</w:t>
      </w:r>
      <w:r w:rsidR="00E934AA" w:rsidRPr="00E934AA">
        <w:rPr>
          <w:rFonts w:ascii="Times New Roman" w:hAnsi="Times New Roman" w:cs="Times New Roman"/>
          <w:i/>
          <w:iCs/>
          <w:szCs w:val="24"/>
          <w:lang w:val="en-US"/>
        </w:rPr>
        <w:t>.</w:t>
      </w:r>
      <w:r w:rsidR="00E934AA" w:rsidRPr="00E934AA">
        <w:rPr>
          <w:rFonts w:ascii="Times New Roman" w:hAnsi="Times New Roman" w:cs="Times New Roman"/>
          <w:szCs w:val="24"/>
          <w:lang w:val="en-US"/>
        </w:rPr>
        <w:t xml:space="preserve"> </w:t>
      </w:r>
      <w:r w:rsidR="00E934AA">
        <w:rPr>
          <w:rFonts w:ascii="Times New Roman" w:hAnsi="Times New Roman" w:cs="Times New Roman"/>
          <w:szCs w:val="24"/>
          <w:lang w:val="en-US"/>
        </w:rPr>
        <w:t>(</w:t>
      </w:r>
      <w:r w:rsidR="00E934AA" w:rsidRPr="00E934AA">
        <w:rPr>
          <w:rFonts w:ascii="Times New Roman" w:hAnsi="Times New Roman" w:cs="Times New Roman"/>
          <w:szCs w:val="24"/>
          <w:lang w:val="en-US"/>
        </w:rPr>
        <w:t>2008)</w:t>
      </w:r>
      <w:r>
        <w:rPr>
          <w:rFonts w:ascii="Times New Roman" w:hAnsi="Times New Roman" w:cs="Times New Roman"/>
          <w:szCs w:val="19"/>
          <w:lang w:val="en-US"/>
        </w:rPr>
        <w:t xml:space="preserve"> and </w:t>
      </w:r>
      <w:r w:rsidR="00E934AA" w:rsidRPr="00F730EA">
        <w:rPr>
          <w:rFonts w:ascii="Times New Roman" w:hAnsi="Times New Roman" w:cs="Times New Roman"/>
          <w:szCs w:val="24"/>
          <w:lang w:val="en-US"/>
        </w:rPr>
        <w:t xml:space="preserve">Torsvik </w:t>
      </w:r>
      <w:r w:rsidR="00E934AA" w:rsidRPr="00AD2688">
        <w:rPr>
          <w:rFonts w:ascii="Times New Roman" w:hAnsi="Times New Roman" w:cs="Times New Roman"/>
          <w:iCs/>
          <w:szCs w:val="24"/>
          <w:lang w:val="en-US"/>
        </w:rPr>
        <w:t>et al</w:t>
      </w:r>
      <w:r w:rsidR="00E934AA" w:rsidRPr="00F730EA">
        <w:rPr>
          <w:rFonts w:ascii="Times New Roman" w:hAnsi="Times New Roman" w:cs="Times New Roman"/>
          <w:i/>
          <w:iCs/>
          <w:szCs w:val="24"/>
          <w:lang w:val="en-US"/>
        </w:rPr>
        <w:t>.</w:t>
      </w:r>
      <w:r w:rsidR="00E934AA" w:rsidRPr="00F730EA">
        <w:rPr>
          <w:rFonts w:ascii="Times New Roman" w:hAnsi="Times New Roman" w:cs="Times New Roman"/>
          <w:szCs w:val="24"/>
          <w:lang w:val="en-US"/>
        </w:rPr>
        <w:t xml:space="preserve"> (2008)</w:t>
      </w:r>
      <w:r w:rsidRPr="00B25C7C">
        <w:rPr>
          <w:rFonts w:ascii="Times New Roman" w:hAnsi="Times New Roman" w:cs="Times New Roman"/>
          <w:szCs w:val="19"/>
          <w:lang w:val="en-US"/>
        </w:rPr>
        <w:t>. T</w:t>
      </w:r>
      <w:r>
        <w:rPr>
          <w:rFonts w:ascii="Times New Roman" w:hAnsi="Times New Roman" w:cs="Times New Roman"/>
          <w:szCs w:val="19"/>
          <w:lang w:val="en-US"/>
        </w:rPr>
        <w:t xml:space="preserve">he paths of the Adria and </w:t>
      </w:r>
      <w:r w:rsidRPr="00B25C7C">
        <w:rPr>
          <w:rFonts w:ascii="Times New Roman" w:hAnsi="Times New Roman" w:cs="Times New Roman"/>
          <w:szCs w:val="19"/>
          <w:lang w:val="en-US"/>
        </w:rPr>
        <w:t>Anatolia</w:t>
      </w:r>
      <w:r w:rsidR="00173A1E">
        <w:rPr>
          <w:rFonts w:ascii="Times New Roman" w:hAnsi="Times New Roman" w:cs="Times New Roman"/>
          <w:szCs w:val="19"/>
          <w:lang w:val="en-US"/>
        </w:rPr>
        <w:t xml:space="preserve"> blocs</w:t>
      </w:r>
      <w:r w:rsidRPr="00B25C7C">
        <w:rPr>
          <w:rFonts w:ascii="Times New Roman" w:hAnsi="Times New Roman" w:cs="Times New Roman"/>
          <w:szCs w:val="19"/>
          <w:lang w:val="en-US"/>
        </w:rPr>
        <w:t>, together with the position of the Middle-East</w:t>
      </w:r>
      <w:r w:rsidR="00173A1E">
        <w:rPr>
          <w:rFonts w:ascii="Times New Roman" w:hAnsi="Times New Roman" w:cs="Times New Roman"/>
          <w:szCs w:val="19"/>
          <w:lang w:val="en-US"/>
        </w:rPr>
        <w:t xml:space="preserve">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Basin, were constrained using the tectonic reconstructions established by </w:t>
      </w:r>
      <w:r w:rsidR="00E934AA">
        <w:rPr>
          <w:rFonts w:ascii="Times New Roman" w:hAnsi="Times New Roman" w:cs="Times New Roman"/>
          <w:lang w:val="en-US"/>
        </w:rPr>
        <w:t>Ricou</w:t>
      </w:r>
      <w:r w:rsidR="00E934AA" w:rsidRPr="00E934AA">
        <w:rPr>
          <w:rFonts w:ascii="Times New Roman" w:hAnsi="Times New Roman" w:cs="Times New Roman"/>
          <w:lang w:val="en-US"/>
        </w:rPr>
        <w:t xml:space="preserve"> </w:t>
      </w:r>
      <w:r w:rsidR="00E934AA">
        <w:rPr>
          <w:rFonts w:ascii="Times New Roman" w:hAnsi="Times New Roman" w:cs="Times New Roman"/>
          <w:lang w:val="en-US"/>
        </w:rPr>
        <w:t>(</w:t>
      </w:r>
      <w:r w:rsidR="00E934AA" w:rsidRPr="00E934AA">
        <w:rPr>
          <w:rFonts w:ascii="Times New Roman" w:hAnsi="Times New Roman" w:cs="Times New Roman"/>
          <w:lang w:val="en-US"/>
        </w:rPr>
        <w:t>1994)</w:t>
      </w:r>
      <w:r>
        <w:rPr>
          <w:rFonts w:ascii="Times New Roman" w:hAnsi="Times New Roman" w:cs="Times New Roman"/>
          <w:szCs w:val="19"/>
          <w:lang w:val="en-US"/>
        </w:rPr>
        <w:t xml:space="preserve">, </w:t>
      </w:r>
      <w:r w:rsidR="00E934AA">
        <w:rPr>
          <w:rFonts w:ascii="Times New Roman" w:hAnsi="Times New Roman" w:cs="Times New Roman"/>
          <w:lang w:val="en-US"/>
        </w:rPr>
        <w:t>Golonka</w:t>
      </w:r>
      <w:r w:rsidR="00E934AA" w:rsidRPr="00E934AA">
        <w:rPr>
          <w:rFonts w:ascii="Times New Roman" w:hAnsi="Times New Roman" w:cs="Times New Roman"/>
          <w:lang w:val="en-US"/>
        </w:rPr>
        <w:t xml:space="preserve"> </w:t>
      </w:r>
      <w:r w:rsidR="00E934AA">
        <w:rPr>
          <w:rFonts w:ascii="Times New Roman" w:hAnsi="Times New Roman" w:cs="Times New Roman"/>
          <w:lang w:val="en-US"/>
        </w:rPr>
        <w:t>(</w:t>
      </w:r>
      <w:r w:rsidR="00E934AA" w:rsidRPr="00E934AA">
        <w:rPr>
          <w:rFonts w:ascii="Times New Roman" w:hAnsi="Times New Roman" w:cs="Times New Roman"/>
          <w:lang w:val="en-US"/>
        </w:rPr>
        <w:t>2007)</w:t>
      </w:r>
      <w:r>
        <w:rPr>
          <w:rFonts w:ascii="Times New Roman" w:hAnsi="Times New Roman" w:cs="Times New Roman"/>
          <w:szCs w:val="19"/>
          <w:lang w:val="en-US"/>
        </w:rPr>
        <w:t xml:space="preserve">, and </w:t>
      </w:r>
      <w:r w:rsidR="00E934AA" w:rsidRPr="00E934AA">
        <w:rPr>
          <w:rFonts w:ascii="Times New Roman" w:hAnsi="Times New Roman" w:cs="Times New Roman"/>
          <w:szCs w:val="24"/>
          <w:lang w:val="en-US"/>
        </w:rPr>
        <w:t xml:space="preserve">Barrier </w:t>
      </w:r>
      <w:r w:rsidR="00E934AA" w:rsidRPr="00AD2688">
        <w:rPr>
          <w:rFonts w:ascii="Times New Roman" w:hAnsi="Times New Roman" w:cs="Times New Roman"/>
          <w:iCs/>
          <w:szCs w:val="24"/>
          <w:lang w:val="en-US"/>
        </w:rPr>
        <w:t>et al</w:t>
      </w:r>
      <w:r w:rsidR="00E934AA" w:rsidRPr="00E934AA">
        <w:rPr>
          <w:rFonts w:ascii="Times New Roman" w:hAnsi="Times New Roman" w:cs="Times New Roman"/>
          <w:i/>
          <w:iCs/>
          <w:szCs w:val="24"/>
          <w:lang w:val="en-US"/>
        </w:rPr>
        <w:t>.</w:t>
      </w:r>
      <w:r w:rsidR="00E934AA" w:rsidRPr="00E934AA">
        <w:rPr>
          <w:rFonts w:ascii="Times New Roman" w:hAnsi="Times New Roman" w:cs="Times New Roman"/>
          <w:szCs w:val="24"/>
          <w:lang w:val="en-US"/>
        </w:rPr>
        <w:t xml:space="preserve"> (2008)</w:t>
      </w:r>
      <w:r w:rsidRPr="00B25C7C">
        <w:rPr>
          <w:rFonts w:ascii="Times New Roman" w:hAnsi="Times New Roman" w:cs="Times New Roman"/>
          <w:szCs w:val="19"/>
          <w:lang w:val="en-US"/>
        </w:rPr>
        <w:t>. Co</w:t>
      </w:r>
      <w:r w:rsidR="00E934AA">
        <w:rPr>
          <w:rFonts w:ascii="Times New Roman" w:hAnsi="Times New Roman" w:cs="Times New Roman"/>
          <w:szCs w:val="19"/>
          <w:lang w:val="en-US"/>
        </w:rPr>
        <w:t>mputations of pal</w:t>
      </w:r>
      <w:r w:rsidR="00F730EA">
        <w:rPr>
          <w:rFonts w:ascii="Times New Roman" w:hAnsi="Times New Roman" w:cs="Times New Roman"/>
          <w:szCs w:val="19"/>
          <w:lang w:val="en-US"/>
        </w:rPr>
        <w:t>a</w:t>
      </w:r>
      <w:r>
        <w:rPr>
          <w:rFonts w:ascii="Times New Roman" w:hAnsi="Times New Roman" w:cs="Times New Roman"/>
          <w:szCs w:val="19"/>
          <w:lang w:val="en-US"/>
        </w:rPr>
        <w:t xml:space="preserve">eocoordinates </w:t>
      </w:r>
      <w:r w:rsidRPr="00B25C7C">
        <w:rPr>
          <w:rFonts w:ascii="Times New Roman" w:hAnsi="Times New Roman" w:cs="Times New Roman"/>
          <w:szCs w:val="19"/>
          <w:lang w:val="en-US"/>
        </w:rPr>
        <w:t>were made by setting the age of</w:t>
      </w:r>
      <w:r>
        <w:rPr>
          <w:rFonts w:ascii="Times New Roman" w:hAnsi="Times New Roman" w:cs="Times New Roman"/>
          <w:szCs w:val="19"/>
          <w:lang w:val="en-US"/>
        </w:rPr>
        <w:t xml:space="preserve"> the early Pliensbachian to </w:t>
      </w:r>
      <w:r w:rsidRPr="00B25C7C">
        <w:rPr>
          <w:rFonts w:ascii="Times New Roman" w:hAnsi="Times New Roman" w:cs="Times New Roman"/>
          <w:szCs w:val="19"/>
          <w:lang w:val="en-US"/>
        </w:rPr>
        <w:t>189 Ma and by considering Eurasia as fixed. The early</w:t>
      </w:r>
      <w:r w:rsidR="003131D6">
        <w:rPr>
          <w:rFonts w:ascii="Times New Roman" w:hAnsi="Times New Roman" w:cs="Times New Roman"/>
          <w:szCs w:val="19"/>
          <w:lang w:val="en-US"/>
        </w:rPr>
        <w:t xml:space="preserve"> </w:t>
      </w:r>
      <w:r w:rsidRPr="00B25C7C">
        <w:rPr>
          <w:rFonts w:ascii="Times New Roman" w:hAnsi="Times New Roman" w:cs="Times New Roman"/>
          <w:szCs w:val="19"/>
          <w:lang w:val="en-US"/>
        </w:rPr>
        <w:t>Pliensbachian map showin</w:t>
      </w:r>
      <w:r w:rsidR="00E934AA">
        <w:rPr>
          <w:rFonts w:ascii="Times New Roman" w:hAnsi="Times New Roman" w:cs="Times New Roman"/>
          <w:szCs w:val="19"/>
          <w:lang w:val="en-US"/>
        </w:rPr>
        <w:t>g the pal</w:t>
      </w:r>
      <w:r w:rsidR="00F730EA">
        <w:rPr>
          <w:rFonts w:ascii="Times New Roman" w:hAnsi="Times New Roman" w:cs="Times New Roman"/>
          <w:szCs w:val="19"/>
          <w:lang w:val="en-US"/>
        </w:rPr>
        <w:t>a</w:t>
      </w:r>
      <w:r w:rsidR="00E934AA">
        <w:rPr>
          <w:rFonts w:ascii="Times New Roman" w:hAnsi="Times New Roman" w:cs="Times New Roman"/>
          <w:szCs w:val="19"/>
          <w:lang w:val="en-US"/>
        </w:rPr>
        <w:t>eolocation of the 104</w:t>
      </w:r>
      <w:r>
        <w:rPr>
          <w:rFonts w:ascii="Times New Roman" w:hAnsi="Times New Roman" w:cs="Times New Roman"/>
          <w:szCs w:val="19"/>
          <w:lang w:val="en-US"/>
        </w:rPr>
        <w:t xml:space="preserve">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localities (Fig. 1) was </w:t>
      </w:r>
      <w:r>
        <w:rPr>
          <w:rFonts w:ascii="Times New Roman" w:hAnsi="Times New Roman" w:cs="Times New Roman"/>
          <w:szCs w:val="19"/>
          <w:lang w:val="en-US"/>
        </w:rPr>
        <w:t xml:space="preserve">drawn using the ArcGIS software </w:t>
      </w:r>
      <w:r w:rsidRPr="00B25C7C">
        <w:rPr>
          <w:rFonts w:ascii="Times New Roman" w:hAnsi="Times New Roman" w:cs="Times New Roman"/>
          <w:szCs w:val="19"/>
          <w:lang w:val="en-US"/>
        </w:rPr>
        <w:t>(v.8.2, ESRI Inc. 2002 https</w:t>
      </w:r>
      <w:r>
        <w:rPr>
          <w:rFonts w:ascii="Times New Roman" w:hAnsi="Times New Roman" w:cs="Times New Roman"/>
          <w:szCs w:val="19"/>
          <w:lang w:val="en-US"/>
        </w:rPr>
        <w:t xml:space="preserve">://www.arcgis.com/) and modules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developed by </w:t>
      </w:r>
      <w:r>
        <w:rPr>
          <w:rFonts w:ascii="Times New Roman" w:hAnsi="Times New Roman" w:cs="Times New Roman"/>
          <w:szCs w:val="19"/>
          <w:lang w:val="en-US"/>
        </w:rPr>
        <w:t>B</w:t>
      </w:r>
      <w:r w:rsidR="00E934AA">
        <w:rPr>
          <w:rFonts w:ascii="Times New Roman" w:hAnsi="Times New Roman" w:cs="Times New Roman"/>
          <w:szCs w:val="19"/>
          <w:lang w:val="en-US"/>
        </w:rPr>
        <w:t xml:space="preserve">runo </w:t>
      </w:r>
      <w:r>
        <w:rPr>
          <w:rFonts w:ascii="Times New Roman" w:hAnsi="Times New Roman" w:cs="Times New Roman"/>
          <w:szCs w:val="19"/>
          <w:lang w:val="en-US"/>
        </w:rPr>
        <w:t>V</w:t>
      </w:r>
      <w:r w:rsidR="00E934AA">
        <w:rPr>
          <w:rFonts w:ascii="Times New Roman" w:hAnsi="Times New Roman" w:cs="Times New Roman"/>
          <w:szCs w:val="19"/>
          <w:lang w:val="en-US"/>
        </w:rPr>
        <w:t>rielynck</w:t>
      </w:r>
      <w:r w:rsidR="005258EC">
        <w:rPr>
          <w:rFonts w:ascii="Times New Roman" w:hAnsi="Times New Roman" w:cs="Times New Roman"/>
          <w:szCs w:val="19"/>
          <w:lang w:val="en-US"/>
        </w:rPr>
        <w:t xml:space="preserve"> (UPMC, Paris)</w:t>
      </w:r>
      <w:r w:rsidR="00E934AA">
        <w:rPr>
          <w:rFonts w:ascii="Times New Roman" w:hAnsi="Times New Roman" w:cs="Times New Roman"/>
          <w:szCs w:val="19"/>
          <w:lang w:val="en-US"/>
        </w:rPr>
        <w:t>. Once pal</w:t>
      </w:r>
      <w:r w:rsidR="00F730EA">
        <w:rPr>
          <w:rFonts w:ascii="Times New Roman" w:hAnsi="Times New Roman" w:cs="Times New Roman"/>
          <w:szCs w:val="19"/>
          <w:lang w:val="en-US"/>
        </w:rPr>
        <w:t>a</w:t>
      </w:r>
      <w:r>
        <w:rPr>
          <w:rFonts w:ascii="Times New Roman" w:hAnsi="Times New Roman" w:cs="Times New Roman"/>
          <w:szCs w:val="19"/>
          <w:lang w:val="en-US"/>
        </w:rPr>
        <w:t xml:space="preserve">eolocations </w:t>
      </w:r>
      <w:r w:rsidRPr="00B25C7C">
        <w:rPr>
          <w:rFonts w:ascii="Times New Roman" w:hAnsi="Times New Roman" w:cs="Times New Roman"/>
          <w:szCs w:val="19"/>
          <w:lang w:val="en-US"/>
        </w:rPr>
        <w:t>were computed, the triangul</w:t>
      </w:r>
      <w:r>
        <w:rPr>
          <w:rFonts w:ascii="Times New Roman" w:hAnsi="Times New Roman" w:cs="Times New Roman"/>
          <w:szCs w:val="19"/>
          <w:lang w:val="en-US"/>
        </w:rPr>
        <w:t xml:space="preserve">ar matrix of great circle (i.e. </w:t>
      </w:r>
      <w:r w:rsidRPr="00B25C7C">
        <w:rPr>
          <w:rFonts w:ascii="Times New Roman" w:hAnsi="Times New Roman" w:cs="Times New Roman"/>
          <w:szCs w:val="19"/>
          <w:lang w:val="en-US"/>
        </w:rPr>
        <w:t>orthodromic) distances betw</w:t>
      </w:r>
      <w:r>
        <w:rPr>
          <w:rFonts w:ascii="Times New Roman" w:hAnsi="Times New Roman" w:cs="Times New Roman"/>
          <w:szCs w:val="19"/>
          <w:lang w:val="en-US"/>
        </w:rPr>
        <w:t xml:space="preserve">een each pair of localities was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calculated using QGIS v.2.0.1 </w:t>
      </w:r>
      <w:r w:rsidR="00E934AA" w:rsidRPr="00E934AA">
        <w:rPr>
          <w:rFonts w:ascii="Times New Roman" w:hAnsi="Times New Roman" w:cs="Times New Roman"/>
          <w:lang w:val="en-US"/>
        </w:rPr>
        <w:t>(QGIS Development Team, 2013</w:t>
      </w:r>
      <w:r w:rsidR="00E934AA">
        <w:rPr>
          <w:rFonts w:ascii="Times New Roman" w:hAnsi="Times New Roman" w:cs="Times New Roman"/>
          <w:lang w:val="en-US"/>
        </w:rPr>
        <w:t>,</w:t>
      </w:r>
      <w:r w:rsidR="00E934AA">
        <w:rPr>
          <w:rFonts w:ascii="Times New Roman" w:hAnsi="Times New Roman" w:cs="Times New Roman"/>
          <w:szCs w:val="19"/>
          <w:lang w:val="en-US"/>
        </w:rPr>
        <w:t xml:space="preserve"> Open Source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Geospatial Foundation Project, </w:t>
      </w:r>
      <w:r w:rsidRPr="00E934AA">
        <w:rPr>
          <w:rFonts w:ascii="Times New Roman" w:hAnsi="Times New Roman" w:cs="Times New Roman"/>
          <w:szCs w:val="19"/>
          <w:lang w:val="en-US"/>
        </w:rPr>
        <w:t>http://www.qgis.org/en/</w:t>
      </w:r>
      <w:r w:rsidR="00473388">
        <w:rPr>
          <w:rFonts w:ascii="Times New Roman" w:hAnsi="Times New Roman" w:cs="Times New Roman"/>
          <w:szCs w:val="19"/>
          <w:lang w:val="en-US"/>
        </w:rPr>
        <w:t>site/</w:t>
      </w:r>
      <w:r>
        <w:rPr>
          <w:rFonts w:ascii="Times New Roman" w:hAnsi="Times New Roman" w:cs="Times New Roman"/>
          <w:szCs w:val="19"/>
          <w:lang w:val="en-US"/>
        </w:rPr>
        <w:t xml:space="preserve">). The use of great circle </w:t>
      </w:r>
      <w:r w:rsidRPr="00B25C7C">
        <w:rPr>
          <w:rFonts w:ascii="Times New Roman" w:hAnsi="Times New Roman" w:cs="Times New Roman"/>
          <w:szCs w:val="19"/>
          <w:lang w:val="en-US"/>
        </w:rPr>
        <w:t>distances implies that e</w:t>
      </w:r>
      <w:r>
        <w:rPr>
          <w:rFonts w:ascii="Times New Roman" w:hAnsi="Times New Roman" w:cs="Times New Roman"/>
          <w:szCs w:val="19"/>
          <w:lang w:val="en-US"/>
        </w:rPr>
        <w:t xml:space="preserve">merged lands are ignored in the 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calculation of inter-locality </w:t>
      </w:r>
      <w:r>
        <w:rPr>
          <w:rFonts w:ascii="Times New Roman" w:hAnsi="Times New Roman" w:cs="Times New Roman"/>
          <w:szCs w:val="19"/>
          <w:lang w:val="en-US"/>
        </w:rPr>
        <w:t xml:space="preserve">distances. Used in most studies </w:t>
      </w:r>
      <w:r w:rsidRPr="00B25C7C">
        <w:rPr>
          <w:rFonts w:ascii="Times New Roman" w:hAnsi="Times New Roman" w:cs="Times New Roman"/>
          <w:szCs w:val="19"/>
          <w:lang w:val="en-US"/>
        </w:rPr>
        <w:t>on present-day and past mar</w:t>
      </w:r>
      <w:r>
        <w:rPr>
          <w:rFonts w:ascii="Times New Roman" w:hAnsi="Times New Roman" w:cs="Times New Roman"/>
          <w:szCs w:val="19"/>
          <w:lang w:val="en-US"/>
        </w:rPr>
        <w:t xml:space="preserve">ine and freshwater environments </w:t>
      </w:r>
      <w:r w:rsidR="00E934AA" w:rsidRPr="00E934AA">
        <w:rPr>
          <w:rFonts w:ascii="Times New Roman" w:hAnsi="Times New Roman" w:cs="Times New Roman"/>
          <w:szCs w:val="24"/>
          <w:lang w:val="en-US"/>
        </w:rPr>
        <w:t>(</w:t>
      </w:r>
      <w:r w:rsidR="00E934AA">
        <w:rPr>
          <w:rFonts w:ascii="Times New Roman" w:hAnsi="Times New Roman" w:cs="Times New Roman"/>
          <w:szCs w:val="24"/>
          <w:lang w:val="en-US"/>
        </w:rPr>
        <w:t xml:space="preserve">e.g. </w:t>
      </w:r>
      <w:r w:rsidR="00E934AA" w:rsidRPr="00E934AA">
        <w:rPr>
          <w:rFonts w:ascii="Times New Roman" w:hAnsi="Times New Roman" w:cs="Times New Roman"/>
          <w:szCs w:val="24"/>
          <w:lang w:val="en-US"/>
        </w:rPr>
        <w:t xml:space="preserve">Kiessling &amp; Aberhan, 2007; Miller </w:t>
      </w:r>
      <w:r w:rsidR="00E934AA" w:rsidRPr="00AD2688">
        <w:rPr>
          <w:rFonts w:ascii="Times New Roman" w:hAnsi="Times New Roman" w:cs="Times New Roman"/>
          <w:iCs/>
          <w:szCs w:val="24"/>
          <w:lang w:val="en-US"/>
        </w:rPr>
        <w:t>et al</w:t>
      </w:r>
      <w:r w:rsidR="00E934AA" w:rsidRPr="00E934AA">
        <w:rPr>
          <w:rFonts w:ascii="Times New Roman" w:hAnsi="Times New Roman" w:cs="Times New Roman"/>
          <w:i/>
          <w:iCs/>
          <w:szCs w:val="24"/>
          <w:lang w:val="en-US"/>
        </w:rPr>
        <w:t>.</w:t>
      </w:r>
      <w:r w:rsidR="00E934AA" w:rsidRPr="00E934AA">
        <w:rPr>
          <w:rFonts w:ascii="Times New Roman" w:hAnsi="Times New Roman" w:cs="Times New Roman"/>
          <w:szCs w:val="24"/>
          <w:lang w:val="en-US"/>
        </w:rPr>
        <w:t xml:space="preserve">, 2009; Astorga </w:t>
      </w:r>
      <w:r w:rsidR="00E934AA" w:rsidRPr="00AD2688">
        <w:rPr>
          <w:rFonts w:ascii="Times New Roman" w:hAnsi="Times New Roman" w:cs="Times New Roman"/>
          <w:iCs/>
          <w:szCs w:val="24"/>
          <w:lang w:val="en-US"/>
        </w:rPr>
        <w:t>et al</w:t>
      </w:r>
      <w:r w:rsidR="00E934AA" w:rsidRPr="00E934AA">
        <w:rPr>
          <w:rFonts w:ascii="Times New Roman" w:hAnsi="Times New Roman" w:cs="Times New Roman"/>
          <w:i/>
          <w:iCs/>
          <w:szCs w:val="24"/>
          <w:lang w:val="en-US"/>
        </w:rPr>
        <w:t>.</w:t>
      </w:r>
      <w:r w:rsidR="00E934AA" w:rsidRPr="00E934AA">
        <w:rPr>
          <w:rFonts w:ascii="Times New Roman" w:hAnsi="Times New Roman" w:cs="Times New Roman"/>
          <w:szCs w:val="24"/>
          <w:lang w:val="en-US"/>
        </w:rPr>
        <w:t xml:space="preserve">, 2012; Wetzel </w:t>
      </w:r>
      <w:r w:rsidR="00E934AA" w:rsidRPr="00AD2688">
        <w:rPr>
          <w:rFonts w:ascii="Times New Roman" w:hAnsi="Times New Roman" w:cs="Times New Roman"/>
          <w:iCs/>
          <w:szCs w:val="24"/>
          <w:lang w:val="en-US"/>
        </w:rPr>
        <w:t>et al</w:t>
      </w:r>
      <w:r w:rsidR="00E934AA" w:rsidRPr="00E934AA">
        <w:rPr>
          <w:rFonts w:ascii="Times New Roman" w:hAnsi="Times New Roman" w:cs="Times New Roman"/>
          <w:i/>
          <w:iCs/>
          <w:szCs w:val="24"/>
          <w:lang w:val="en-US"/>
        </w:rPr>
        <w:t>.</w:t>
      </w:r>
      <w:r w:rsidR="00E934AA" w:rsidRPr="00E934AA">
        <w:rPr>
          <w:rFonts w:ascii="Times New Roman" w:hAnsi="Times New Roman" w:cs="Times New Roman"/>
          <w:szCs w:val="24"/>
          <w:lang w:val="en-US"/>
        </w:rPr>
        <w:t>, 2012; Brayard &amp; Escarguel, 2013)</w:t>
      </w:r>
      <w:r w:rsidR="00E934AA">
        <w:rPr>
          <w:rFonts w:ascii="Times New Roman" w:hAnsi="Times New Roman" w:cs="Times New Roman"/>
          <w:szCs w:val="19"/>
          <w:lang w:val="en-US"/>
        </w:rPr>
        <w:t>,</w:t>
      </w:r>
      <w:r w:rsidRPr="00B25C7C">
        <w:rPr>
          <w:rFonts w:ascii="Times New Roman" w:hAnsi="Times New Roman" w:cs="Times New Roman"/>
          <w:szCs w:val="19"/>
          <w:lang w:val="en-US"/>
        </w:rPr>
        <w:t xml:space="preserve"> th</w:t>
      </w:r>
      <w:r>
        <w:rPr>
          <w:rFonts w:ascii="Times New Roman" w:hAnsi="Times New Roman" w:cs="Times New Roman"/>
          <w:szCs w:val="19"/>
          <w:lang w:val="en-US"/>
        </w:rPr>
        <w:t xml:space="preserve">is technique avoids many ad hoc </w:t>
      </w:r>
      <w:r w:rsidRPr="00B25C7C">
        <w:rPr>
          <w:rFonts w:ascii="Times New Roman" w:hAnsi="Times New Roman" w:cs="Times New Roman"/>
          <w:szCs w:val="19"/>
          <w:lang w:val="en-US"/>
        </w:rPr>
        <w:t>hypotheses about the dispersal routes of organisms.</w:t>
      </w:r>
    </w:p>
    <w:p w:rsidR="008F05D7" w:rsidRDefault="008F05D7" w:rsidP="00532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19"/>
          <w:lang w:val="en-US"/>
        </w:rPr>
      </w:pPr>
    </w:p>
    <w:p w:rsidR="00E934AA" w:rsidRDefault="00E934AA" w:rsidP="00532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19"/>
          <w:lang w:val="en-US"/>
        </w:rPr>
      </w:pPr>
    </w:p>
    <w:p w:rsidR="00E934AA" w:rsidRPr="00736F0B" w:rsidRDefault="00A31880" w:rsidP="00532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19"/>
          <w:lang w:val="en-US"/>
        </w:rPr>
      </w:pPr>
      <w:r w:rsidRPr="00736F0B">
        <w:rPr>
          <w:rFonts w:ascii="Times New Roman" w:hAnsi="Times New Roman" w:cs="Times New Roman"/>
          <w:b/>
          <w:szCs w:val="19"/>
          <w:lang w:val="en-US"/>
        </w:rPr>
        <w:t>References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>Astorga, A., Oksanen, J., Luoto, M., Soininen, J., Virtanen, R. &amp; Muotka, T. (2012) Distance decay of similarity in freshwater communities: do macro- and microorganisms follow</w:t>
      </w:r>
      <w:r w:rsidR="006D4A61">
        <w:rPr>
          <w:rFonts w:ascii="Times New Roman" w:hAnsi="Times New Roman" w:cs="Times New Roman"/>
          <w:lang w:val="en-US"/>
        </w:rPr>
        <w:t xml:space="preserve"> the same rules?</w:t>
      </w:r>
      <w:r w:rsidRPr="00736F0B">
        <w:rPr>
          <w:rFonts w:ascii="Times New Roman" w:hAnsi="Times New Roman" w:cs="Times New Roman"/>
          <w:lang w:val="en-US"/>
        </w:rPr>
        <w:t xml:space="preserve"> </w:t>
      </w:r>
      <w:r w:rsidRPr="00736F0B">
        <w:rPr>
          <w:rFonts w:ascii="Times New Roman" w:hAnsi="Times New Roman" w:cs="Times New Roman"/>
          <w:i/>
          <w:iCs/>
          <w:lang w:val="en-US"/>
        </w:rPr>
        <w:t>Global Ecology and Biogeography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21</w:t>
      </w:r>
      <w:r w:rsidRPr="00736F0B">
        <w:rPr>
          <w:rFonts w:ascii="Times New Roman" w:hAnsi="Times New Roman" w:cs="Times New Roman"/>
          <w:lang w:val="en-US"/>
        </w:rPr>
        <w:t>, 365–375.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>Barrier, E., Vrielynck, B., Bergerat, F., Brunet, M.-F., Mosar, J., Poisson, A. &amp; Sosson, M. (2008) Palaeotect</w:t>
      </w:r>
      <w:r w:rsidR="006D4A61">
        <w:rPr>
          <w:rFonts w:ascii="Times New Roman" w:hAnsi="Times New Roman" w:cs="Times New Roman"/>
          <w:lang w:val="en-US"/>
        </w:rPr>
        <w:t>onic maps of the Middle East : tectono-sedimentary-p</w:t>
      </w:r>
      <w:r w:rsidRPr="00736F0B">
        <w:rPr>
          <w:rFonts w:ascii="Times New Roman" w:hAnsi="Times New Roman" w:cs="Times New Roman"/>
          <w:lang w:val="en-US"/>
        </w:rPr>
        <w:t>alinspastic maps from Late Norian to Pliocene.</w:t>
      </w:r>
      <w:r w:rsidR="006D4A61">
        <w:rPr>
          <w:rFonts w:ascii="Times New Roman" w:hAnsi="Times New Roman" w:cs="Times New Roman"/>
          <w:lang w:val="en-US"/>
        </w:rPr>
        <w:t xml:space="preserve"> </w:t>
      </w:r>
      <w:r w:rsidR="006D4A61" w:rsidRPr="006D4A61">
        <w:rPr>
          <w:rFonts w:ascii="Times New Roman" w:hAnsi="Times New Roman" w:cs="Times New Roman"/>
          <w:lang w:val="en-US"/>
        </w:rPr>
        <w:t>CCGM/CGMW, Paris, 14 maps.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>Brayard, A. &amp; Escarguel, G. (2013) Untangling phylogenetic, geometric and ornamental imprints on Early Triassic ammonoid biogeography: a s</w:t>
      </w:r>
      <w:r w:rsidR="006D4A61">
        <w:rPr>
          <w:rFonts w:ascii="Times New Roman" w:hAnsi="Times New Roman" w:cs="Times New Roman"/>
          <w:lang w:val="en-US"/>
        </w:rPr>
        <w:t>imilarity-distance decay study</w:t>
      </w:r>
      <w:r w:rsidRPr="00736F0B">
        <w:rPr>
          <w:rFonts w:ascii="Times New Roman" w:hAnsi="Times New Roman" w:cs="Times New Roman"/>
          <w:lang w:val="en-US"/>
        </w:rPr>
        <w:t xml:space="preserve">. </w:t>
      </w:r>
      <w:r w:rsidRPr="00736F0B">
        <w:rPr>
          <w:rFonts w:ascii="Times New Roman" w:hAnsi="Times New Roman" w:cs="Times New Roman"/>
          <w:i/>
          <w:iCs/>
          <w:lang w:val="en-US"/>
        </w:rPr>
        <w:t>Lethaia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46</w:t>
      </w:r>
      <w:r w:rsidRPr="00736F0B">
        <w:rPr>
          <w:rFonts w:ascii="Times New Roman" w:hAnsi="Times New Roman" w:cs="Times New Roman"/>
          <w:lang w:val="en-US"/>
        </w:rPr>
        <w:t>, 19–33.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 xml:space="preserve">Golonka, J. (2007) Late Triassic and Early Jurassic palaeogeography of the world. </w:t>
      </w:r>
      <w:r w:rsidRPr="00736F0B">
        <w:rPr>
          <w:rFonts w:ascii="Times New Roman" w:hAnsi="Times New Roman" w:cs="Times New Roman"/>
          <w:i/>
          <w:iCs/>
          <w:lang w:val="en-US"/>
        </w:rPr>
        <w:t>Palaeogeography, Palaeoclimatology, Palaeoecology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244</w:t>
      </w:r>
      <w:r w:rsidRPr="00736F0B">
        <w:rPr>
          <w:rFonts w:ascii="Times New Roman" w:hAnsi="Times New Roman" w:cs="Times New Roman"/>
          <w:lang w:val="en-US"/>
        </w:rPr>
        <w:t>, 297–307.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lastRenderedPageBreak/>
        <w:t xml:space="preserve">Kiessling, W. &amp; Aberhan, M. (2007) Geographical distribution and extinction risk: lessons from Triassic-Jurassic marine benthic organisms. </w:t>
      </w:r>
      <w:r w:rsidRPr="00736F0B">
        <w:rPr>
          <w:rFonts w:ascii="Times New Roman" w:hAnsi="Times New Roman" w:cs="Times New Roman"/>
          <w:i/>
          <w:iCs/>
          <w:lang w:val="en-US"/>
        </w:rPr>
        <w:t>Journal of Biogeography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34</w:t>
      </w:r>
      <w:r w:rsidRPr="00736F0B">
        <w:rPr>
          <w:rFonts w:ascii="Times New Roman" w:hAnsi="Times New Roman" w:cs="Times New Roman"/>
          <w:lang w:val="en-US"/>
        </w:rPr>
        <w:t>, 1473–1489.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 xml:space="preserve">Miller, A.I., Aberhan, M., Buick, D.P., Bulinski, K.V., Ferguson, C.A., Hendy, A.J.W. &amp; Kiessling, W. (2009) Phanerozoic trends in the global geographic disparity of marine biotas. </w:t>
      </w:r>
      <w:r w:rsidRPr="00736F0B">
        <w:rPr>
          <w:rFonts w:ascii="Times New Roman" w:hAnsi="Times New Roman" w:cs="Times New Roman"/>
          <w:i/>
          <w:iCs/>
          <w:lang w:val="en-US"/>
        </w:rPr>
        <w:t>Paleobiology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35</w:t>
      </w:r>
      <w:r w:rsidRPr="00736F0B">
        <w:rPr>
          <w:rFonts w:ascii="Times New Roman" w:hAnsi="Times New Roman" w:cs="Times New Roman"/>
          <w:lang w:val="en-US"/>
        </w:rPr>
        <w:t>, 612–630.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 xml:space="preserve">Müller, R.D., Sdrolias, M., Gaina, C. &amp; Roest, W.R. (2008) Age, spreading rates, and spreading asymmetry of the world’s ocean crust. </w:t>
      </w:r>
      <w:r w:rsidRPr="00736F0B">
        <w:rPr>
          <w:rFonts w:ascii="Times New Roman" w:hAnsi="Times New Roman" w:cs="Times New Roman"/>
          <w:i/>
          <w:iCs/>
          <w:lang w:val="en-US"/>
        </w:rPr>
        <w:t>Geochemistry, Geophysics, Geosystems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9</w:t>
      </w:r>
      <w:r w:rsidRPr="00736F0B">
        <w:rPr>
          <w:rFonts w:ascii="Times New Roman" w:hAnsi="Times New Roman" w:cs="Times New Roman"/>
          <w:lang w:val="en-US"/>
        </w:rPr>
        <w:t>, Q04006.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 xml:space="preserve">QGIS Development Team (2013) QGIS Geographic Information System. </w:t>
      </w:r>
      <w:r w:rsidRPr="00736F0B">
        <w:rPr>
          <w:rFonts w:ascii="Times New Roman" w:hAnsi="Times New Roman" w:cs="Times New Roman"/>
          <w:i/>
          <w:iCs/>
          <w:lang w:val="en-US"/>
        </w:rPr>
        <w:t>Open Source Geospatial Foundation Project</w:t>
      </w:r>
      <w:r w:rsidRPr="00736F0B">
        <w:rPr>
          <w:rFonts w:ascii="Times New Roman" w:hAnsi="Times New Roman" w:cs="Times New Roman"/>
          <w:lang w:val="en-US"/>
        </w:rPr>
        <w:t>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 xml:space="preserve">Ricou, L. (1994) Tethys reconstructed: plates, continental fragments and their boundaries since 260 Ma from Central America to South-eastern Asia. </w:t>
      </w:r>
      <w:r w:rsidRPr="00736F0B">
        <w:rPr>
          <w:rFonts w:ascii="Times New Roman" w:hAnsi="Times New Roman" w:cs="Times New Roman"/>
          <w:i/>
          <w:iCs/>
          <w:lang w:val="en-US"/>
        </w:rPr>
        <w:t>Geodinamica acta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7</w:t>
      </w:r>
      <w:r w:rsidRPr="00473388">
        <w:rPr>
          <w:rFonts w:ascii="Times New Roman" w:hAnsi="Times New Roman" w:cs="Times New Roman"/>
          <w:lang w:val="en-US"/>
        </w:rPr>
        <w:t>,</w:t>
      </w:r>
      <w:r w:rsidRPr="00736F0B">
        <w:rPr>
          <w:rFonts w:ascii="Times New Roman" w:hAnsi="Times New Roman" w:cs="Times New Roman"/>
          <w:lang w:val="en-US"/>
        </w:rPr>
        <w:t xml:space="preserve"> 169–218.</w:t>
      </w:r>
    </w:p>
    <w:p w:rsidR="00736F0B" w:rsidRPr="00736F0B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>Torsvik, T.H., Müller, R.D., Van der Voo, R., Steinberger, B. &amp; Gaina, C. (200</w:t>
      </w:r>
      <w:r w:rsidR="00956A14">
        <w:rPr>
          <w:rFonts w:ascii="Times New Roman" w:hAnsi="Times New Roman" w:cs="Times New Roman"/>
          <w:lang w:val="en-US"/>
        </w:rPr>
        <w:t>8) Global plate motion frames: t</w:t>
      </w:r>
      <w:r w:rsidRPr="00736F0B">
        <w:rPr>
          <w:rFonts w:ascii="Times New Roman" w:hAnsi="Times New Roman" w:cs="Times New Roman"/>
          <w:lang w:val="en-US"/>
        </w:rPr>
        <w:t xml:space="preserve">oward a unified model. </w:t>
      </w:r>
      <w:r w:rsidRPr="00736F0B">
        <w:rPr>
          <w:rFonts w:ascii="Times New Roman" w:hAnsi="Times New Roman" w:cs="Times New Roman"/>
          <w:i/>
          <w:iCs/>
          <w:lang w:val="en-US"/>
        </w:rPr>
        <w:t>Reviews of Geophysics</w:t>
      </w:r>
      <w:r w:rsidRPr="00736F0B">
        <w:rPr>
          <w:rFonts w:ascii="Times New Roman" w:hAnsi="Times New Roman" w:cs="Times New Roman"/>
          <w:lang w:val="en-US"/>
        </w:rPr>
        <w:t xml:space="preserve">, </w:t>
      </w:r>
      <w:r w:rsidRPr="00473388">
        <w:rPr>
          <w:rFonts w:ascii="Times New Roman" w:hAnsi="Times New Roman" w:cs="Times New Roman"/>
          <w:bCs/>
          <w:i/>
          <w:lang w:val="en-US"/>
        </w:rPr>
        <w:t>46</w:t>
      </w:r>
      <w:r w:rsidRPr="00736F0B">
        <w:rPr>
          <w:rFonts w:ascii="Times New Roman" w:hAnsi="Times New Roman" w:cs="Times New Roman"/>
          <w:lang w:val="en-US"/>
        </w:rPr>
        <w:t>, RG3004.</w:t>
      </w:r>
    </w:p>
    <w:p w:rsidR="008F05D7" w:rsidRDefault="00736F0B" w:rsidP="005327F9">
      <w:pPr>
        <w:pStyle w:val="Bibliography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36F0B">
        <w:rPr>
          <w:rFonts w:ascii="Times New Roman" w:hAnsi="Times New Roman" w:cs="Times New Roman"/>
          <w:lang w:val="en-US"/>
        </w:rPr>
        <w:t>Wetzel, C.E., Bicudo, D. de C., Ector, L., Lobo, E.A., Soininen, J., Landeiro, V.L</w:t>
      </w:r>
      <w:r w:rsidR="006D4A61">
        <w:rPr>
          <w:rFonts w:ascii="Times New Roman" w:hAnsi="Times New Roman" w:cs="Times New Roman"/>
          <w:lang w:val="en-US"/>
        </w:rPr>
        <w:t>. &amp; Bini, L.M. (2012) Distance decay of s</w:t>
      </w:r>
      <w:r w:rsidRPr="00736F0B">
        <w:rPr>
          <w:rFonts w:ascii="Times New Roman" w:hAnsi="Times New Roman" w:cs="Times New Roman"/>
          <w:lang w:val="en-US"/>
        </w:rPr>
        <w:t>imilarit</w:t>
      </w:r>
      <w:r w:rsidR="006D4A61">
        <w:rPr>
          <w:rFonts w:ascii="Times New Roman" w:hAnsi="Times New Roman" w:cs="Times New Roman"/>
          <w:lang w:val="en-US"/>
        </w:rPr>
        <w:t>y in neotropical diatom c</w:t>
      </w:r>
      <w:r w:rsidRPr="00736F0B">
        <w:rPr>
          <w:rFonts w:ascii="Times New Roman" w:hAnsi="Times New Roman" w:cs="Times New Roman"/>
          <w:lang w:val="en-US"/>
        </w:rPr>
        <w:t xml:space="preserve">ommunities. </w:t>
      </w:r>
      <w:r w:rsidRPr="006D4A61">
        <w:rPr>
          <w:rFonts w:ascii="Times New Roman" w:hAnsi="Times New Roman" w:cs="Times New Roman"/>
          <w:i/>
          <w:iCs/>
          <w:lang w:val="en-US"/>
        </w:rPr>
        <w:t>PLoS ONE</w:t>
      </w:r>
      <w:r w:rsidRPr="006D4A61">
        <w:rPr>
          <w:rFonts w:ascii="Times New Roman" w:hAnsi="Times New Roman" w:cs="Times New Roman"/>
          <w:lang w:val="en-US"/>
        </w:rPr>
        <w:t>,</w:t>
      </w:r>
      <w:r w:rsidRPr="00383873">
        <w:rPr>
          <w:rFonts w:ascii="Times New Roman" w:hAnsi="Times New Roman" w:cs="Times New Roman"/>
          <w:b/>
          <w:lang w:val="en-US"/>
        </w:rPr>
        <w:t xml:space="preserve"> </w:t>
      </w:r>
      <w:r w:rsidRPr="00473388">
        <w:rPr>
          <w:rFonts w:ascii="Times New Roman" w:hAnsi="Times New Roman" w:cs="Times New Roman"/>
          <w:bCs/>
          <w:i/>
          <w:lang w:val="en-US"/>
        </w:rPr>
        <w:t>7</w:t>
      </w:r>
      <w:r w:rsidRPr="006D4A61">
        <w:rPr>
          <w:rFonts w:ascii="Times New Roman" w:hAnsi="Times New Roman" w:cs="Times New Roman"/>
          <w:lang w:val="en-US"/>
        </w:rPr>
        <w:t>, e45071.</w:t>
      </w:r>
    </w:p>
    <w:p w:rsidR="00A31880" w:rsidRDefault="00A31880" w:rsidP="005327F9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5327F9" w:rsidRDefault="00594AA8" w:rsidP="005327F9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121285</wp:posOffset>
            </wp:positionV>
            <wp:extent cx="5122545" cy="8040370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S3_Fig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F9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166" w:rsidRPr="009F4C58" w:rsidRDefault="005327F9" w:rsidP="00900BB8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9F4C58">
        <w:rPr>
          <w:rFonts w:ascii="Times New Roman" w:hAnsi="Times New Roman" w:cs="Times New Roman"/>
          <w:b/>
          <w:szCs w:val="24"/>
          <w:lang w:val="en-US"/>
        </w:rPr>
        <w:t>Figure S1</w:t>
      </w:r>
      <w:r w:rsidR="009F4C58" w:rsidRPr="009F4C58">
        <w:rPr>
          <w:rFonts w:ascii="Times New Roman" w:hAnsi="Times New Roman" w:cs="Times New Roman"/>
          <w:b/>
          <w:szCs w:val="24"/>
          <w:lang w:val="en-US"/>
        </w:rPr>
        <w:t>.1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Species-level phylogenetic </w:t>
      </w:r>
      <w:r w:rsidR="000A7CFE" w:rsidRPr="009F4C58">
        <w:rPr>
          <w:rFonts w:ascii="Times New Roman" w:hAnsi="Times New Roman" w:cs="Times New Roman"/>
          <w:szCs w:val="24"/>
          <w:lang w:val="en-US"/>
        </w:rPr>
        <w:t>tree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for ammonites of the western Tethys and adjacent areas (after Hardy </w:t>
      </w:r>
      <w:r w:rsidRPr="00AD2688">
        <w:rPr>
          <w:rFonts w:ascii="Times New Roman" w:hAnsi="Times New Roman" w:cs="Times New Roman"/>
          <w:szCs w:val="24"/>
          <w:lang w:val="en-US"/>
        </w:rPr>
        <w:t>et al</w:t>
      </w:r>
      <w:r w:rsidRPr="009F4C58">
        <w:rPr>
          <w:rFonts w:ascii="Times New Roman" w:hAnsi="Times New Roman" w:cs="Times New Roman"/>
          <w:szCs w:val="24"/>
          <w:lang w:val="en-US"/>
        </w:rPr>
        <w:t>., 2012) of the Jamesoni chronozone</w:t>
      </w:r>
      <w:r w:rsidR="00900BB8" w:rsidRPr="009F4C58">
        <w:rPr>
          <w:rFonts w:ascii="Times New Roman" w:hAnsi="Times New Roman" w:cs="Times New Roman"/>
          <w:szCs w:val="24"/>
          <w:lang w:val="en-US"/>
        </w:rPr>
        <w:t xml:space="preserve"> with recalculated branch lengths</w:t>
      </w:r>
    </w:p>
    <w:p w:rsidR="00D75166" w:rsidRPr="00D75166" w:rsidRDefault="00D75166" w:rsidP="00D75166">
      <w:pPr>
        <w:rPr>
          <w:lang w:val="en-US"/>
        </w:rPr>
      </w:pPr>
    </w:p>
    <w:p w:rsidR="005327F9" w:rsidRDefault="005327F9" w:rsidP="005327F9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539B73" wp14:editId="637F5B8C">
            <wp:extent cx="3956254" cy="7549072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S3_Fig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254" cy="75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F9" w:rsidRPr="009F4C58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9F4C58">
        <w:rPr>
          <w:rFonts w:ascii="Times New Roman" w:hAnsi="Times New Roman" w:cs="Times New Roman"/>
          <w:b/>
          <w:szCs w:val="24"/>
          <w:lang w:val="en-US"/>
        </w:rPr>
        <w:t>Figure S</w:t>
      </w:r>
      <w:r w:rsidR="009F4C58" w:rsidRPr="009F4C58">
        <w:rPr>
          <w:rFonts w:ascii="Times New Roman" w:hAnsi="Times New Roman" w:cs="Times New Roman"/>
          <w:b/>
          <w:szCs w:val="24"/>
          <w:lang w:val="en-US"/>
        </w:rPr>
        <w:t>1.</w:t>
      </w:r>
      <w:r w:rsidRPr="009F4C58">
        <w:rPr>
          <w:rFonts w:ascii="Times New Roman" w:hAnsi="Times New Roman" w:cs="Times New Roman"/>
          <w:b/>
          <w:szCs w:val="24"/>
          <w:lang w:val="en-US"/>
        </w:rPr>
        <w:t>2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Species-level phylogenetic </w:t>
      </w:r>
      <w:r w:rsidR="000A7CFE" w:rsidRPr="009F4C58">
        <w:rPr>
          <w:rFonts w:ascii="Times New Roman" w:hAnsi="Times New Roman" w:cs="Times New Roman"/>
          <w:szCs w:val="24"/>
          <w:lang w:val="en-US"/>
        </w:rPr>
        <w:t>tree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for ammonites of the western Tethys and adjacent areas (after Hardy </w:t>
      </w:r>
      <w:r w:rsidRPr="00AD2688">
        <w:rPr>
          <w:rFonts w:ascii="Times New Roman" w:hAnsi="Times New Roman" w:cs="Times New Roman"/>
          <w:szCs w:val="24"/>
          <w:lang w:val="en-US"/>
        </w:rPr>
        <w:t>et al</w:t>
      </w:r>
      <w:r w:rsidRPr="009F4C58">
        <w:rPr>
          <w:rFonts w:ascii="Times New Roman" w:hAnsi="Times New Roman" w:cs="Times New Roman"/>
          <w:szCs w:val="24"/>
          <w:lang w:val="en-US"/>
        </w:rPr>
        <w:t>., 2012) of the Ibex chronozone</w:t>
      </w:r>
      <w:r w:rsidR="00900BB8" w:rsidRPr="009F4C58">
        <w:rPr>
          <w:rFonts w:ascii="Times New Roman" w:hAnsi="Times New Roman" w:cs="Times New Roman"/>
          <w:szCs w:val="24"/>
          <w:lang w:val="en-US"/>
        </w:rPr>
        <w:t xml:space="preserve"> with recalculated branch lengths</w:t>
      </w:r>
    </w:p>
    <w:p w:rsidR="005327F9" w:rsidRDefault="005327F9" w:rsidP="005327F9">
      <w:pPr>
        <w:jc w:val="both"/>
        <w:rPr>
          <w:lang w:val="en-US"/>
        </w:rPr>
      </w:pPr>
    </w:p>
    <w:p w:rsidR="005327F9" w:rsidRDefault="005327F9" w:rsidP="005327F9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D8B3A0B" wp14:editId="513E8399">
            <wp:extent cx="4438855" cy="691701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S3_Fig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55" cy="69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F9" w:rsidRPr="009F4C58" w:rsidRDefault="005327F9" w:rsidP="005327F9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9F4C58">
        <w:rPr>
          <w:rFonts w:ascii="Times New Roman" w:hAnsi="Times New Roman" w:cs="Times New Roman"/>
          <w:b/>
          <w:szCs w:val="24"/>
          <w:lang w:val="en-US"/>
        </w:rPr>
        <w:t>Figure S</w:t>
      </w:r>
      <w:r w:rsidR="009F4C58" w:rsidRPr="009F4C58">
        <w:rPr>
          <w:rFonts w:ascii="Times New Roman" w:hAnsi="Times New Roman" w:cs="Times New Roman"/>
          <w:b/>
          <w:szCs w:val="24"/>
          <w:lang w:val="en-US"/>
        </w:rPr>
        <w:t>1.</w:t>
      </w:r>
      <w:r w:rsidRPr="009F4C58">
        <w:rPr>
          <w:rFonts w:ascii="Times New Roman" w:hAnsi="Times New Roman" w:cs="Times New Roman"/>
          <w:b/>
          <w:szCs w:val="24"/>
          <w:lang w:val="en-US"/>
        </w:rPr>
        <w:t>3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Species-level phylogenetic </w:t>
      </w:r>
      <w:r w:rsidR="000A7CFE" w:rsidRPr="009F4C58">
        <w:rPr>
          <w:rFonts w:ascii="Times New Roman" w:hAnsi="Times New Roman" w:cs="Times New Roman"/>
          <w:szCs w:val="24"/>
          <w:lang w:val="en-US"/>
        </w:rPr>
        <w:t>tree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for ammonites of the western Tethys and adjacent areas (after Hardy </w:t>
      </w:r>
      <w:r w:rsidRPr="00AD2688">
        <w:rPr>
          <w:rFonts w:ascii="Times New Roman" w:hAnsi="Times New Roman" w:cs="Times New Roman"/>
          <w:szCs w:val="24"/>
          <w:lang w:val="en-US"/>
        </w:rPr>
        <w:t>et al</w:t>
      </w:r>
      <w:r w:rsidRPr="009F4C58">
        <w:rPr>
          <w:rFonts w:ascii="Times New Roman" w:hAnsi="Times New Roman" w:cs="Times New Roman"/>
          <w:szCs w:val="24"/>
          <w:lang w:val="en-US"/>
        </w:rPr>
        <w:t>., 2012) of the Davoei chronozone</w:t>
      </w:r>
      <w:r w:rsidR="00900BB8" w:rsidRPr="009F4C58">
        <w:rPr>
          <w:rFonts w:ascii="Times New Roman" w:hAnsi="Times New Roman" w:cs="Times New Roman"/>
          <w:szCs w:val="24"/>
          <w:lang w:val="en-US"/>
        </w:rPr>
        <w:t xml:space="preserve"> with recalculated branch lengths</w:t>
      </w:r>
    </w:p>
    <w:p w:rsidR="00226DAC" w:rsidRDefault="00226DAC" w:rsidP="00226DAC">
      <w:pPr>
        <w:rPr>
          <w:lang w:val="en-US"/>
        </w:rPr>
      </w:pPr>
    </w:p>
    <w:p w:rsidR="00226DAC" w:rsidRDefault="00226DAC" w:rsidP="00226DAC">
      <w:pPr>
        <w:rPr>
          <w:lang w:val="en-US"/>
        </w:rPr>
      </w:pPr>
    </w:p>
    <w:p w:rsidR="00226DAC" w:rsidRDefault="00226DAC" w:rsidP="00226DAC">
      <w:pPr>
        <w:rPr>
          <w:lang w:val="en-US"/>
        </w:rPr>
      </w:pPr>
    </w:p>
    <w:p w:rsidR="00122E6D" w:rsidRDefault="00122E6D" w:rsidP="00226DAC">
      <w:pPr>
        <w:rPr>
          <w:lang w:val="en-US"/>
        </w:rPr>
      </w:pPr>
    </w:p>
    <w:p w:rsidR="00226DAC" w:rsidRPr="00226DAC" w:rsidRDefault="00226DAC" w:rsidP="00226DAC">
      <w:pPr>
        <w:rPr>
          <w:lang w:val="en-US"/>
        </w:rPr>
      </w:pPr>
    </w:p>
    <w:p w:rsidR="005327F9" w:rsidRDefault="000A7CFE" w:rsidP="005327F9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-81</wp:posOffset>
            </wp:positionH>
            <wp:positionV relativeFrom="paragraph">
              <wp:posOffset>-297815</wp:posOffset>
            </wp:positionV>
            <wp:extent cx="4088291" cy="8038465"/>
            <wp:effectExtent l="0" t="0" r="762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Jam.Tethys_rangesOL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291" cy="803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226DAC" w:rsidRDefault="00226DAC" w:rsidP="005327F9">
      <w:pPr>
        <w:jc w:val="both"/>
        <w:rPr>
          <w:lang w:val="en-US"/>
        </w:rPr>
      </w:pPr>
    </w:p>
    <w:p w:rsidR="00122E6D" w:rsidRDefault="00122E6D" w:rsidP="005327F9">
      <w:pPr>
        <w:jc w:val="both"/>
        <w:rPr>
          <w:lang w:val="en-US"/>
        </w:rPr>
      </w:pPr>
    </w:p>
    <w:p w:rsidR="000A7CFE" w:rsidRDefault="000A7CFE" w:rsidP="00122E6D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CFE" w:rsidRDefault="000A7CFE" w:rsidP="00122E6D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DAC" w:rsidRPr="009F4C58" w:rsidRDefault="00122E6D" w:rsidP="00122E6D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9F4C58">
        <w:rPr>
          <w:rFonts w:ascii="Times New Roman" w:hAnsi="Times New Roman" w:cs="Times New Roman"/>
          <w:b/>
          <w:szCs w:val="24"/>
          <w:lang w:val="en-US"/>
        </w:rPr>
        <w:t>Figure S</w:t>
      </w:r>
      <w:r w:rsidR="009F4C58" w:rsidRPr="009F4C58">
        <w:rPr>
          <w:rFonts w:ascii="Times New Roman" w:hAnsi="Times New Roman" w:cs="Times New Roman"/>
          <w:b/>
          <w:szCs w:val="24"/>
          <w:lang w:val="en-US"/>
        </w:rPr>
        <w:t>1.</w:t>
      </w:r>
      <w:r w:rsidRPr="009F4C58">
        <w:rPr>
          <w:rFonts w:ascii="Times New Roman" w:hAnsi="Times New Roman" w:cs="Times New Roman"/>
          <w:b/>
          <w:szCs w:val="24"/>
          <w:lang w:val="en-US"/>
        </w:rPr>
        <w:t>4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Species-level phylogenetic </w:t>
      </w:r>
      <w:r w:rsidR="000A7CFE" w:rsidRPr="009F4C58">
        <w:rPr>
          <w:rFonts w:ascii="Times New Roman" w:hAnsi="Times New Roman" w:cs="Times New Roman"/>
          <w:szCs w:val="24"/>
          <w:lang w:val="en-US"/>
        </w:rPr>
        <w:t>tree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for ammonites of the western Tethys and adjacent areas (after Hardy </w:t>
      </w:r>
      <w:r w:rsidRPr="00AD2688">
        <w:rPr>
          <w:rFonts w:ascii="Times New Roman" w:hAnsi="Times New Roman" w:cs="Times New Roman"/>
          <w:szCs w:val="24"/>
          <w:lang w:val="en-US"/>
        </w:rPr>
        <w:t>et al</w:t>
      </w:r>
      <w:r w:rsidRPr="009F4C58">
        <w:rPr>
          <w:rFonts w:ascii="Times New Roman" w:hAnsi="Times New Roman" w:cs="Times New Roman"/>
          <w:szCs w:val="24"/>
          <w:lang w:val="en-US"/>
        </w:rPr>
        <w:t>., 2012) of the Jamesoni chronozone with</w:t>
      </w:r>
      <w:r w:rsidR="00956A14">
        <w:rPr>
          <w:rFonts w:ascii="Times New Roman" w:hAnsi="Times New Roman" w:cs="Times New Roman"/>
          <w:szCs w:val="24"/>
          <w:lang w:val="en-US"/>
        </w:rPr>
        <w:t>out recalculated branch lengths</w:t>
      </w:r>
    </w:p>
    <w:p w:rsidR="000A7CFE" w:rsidRDefault="000A7CFE" w:rsidP="000A7CFE">
      <w:pPr>
        <w:rPr>
          <w:lang w:val="en-US"/>
        </w:rPr>
      </w:pPr>
    </w:p>
    <w:p w:rsidR="000A7CFE" w:rsidRPr="000A7CFE" w:rsidRDefault="000A7CFE" w:rsidP="000A7CFE">
      <w:pPr>
        <w:rPr>
          <w:lang w:val="en-US"/>
        </w:rPr>
      </w:pPr>
    </w:p>
    <w:p w:rsidR="000A7CFE" w:rsidRPr="000A7CFE" w:rsidRDefault="00122E6D" w:rsidP="000A7CF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963600" cy="75484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.Ibex.Tethys_rangesOL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754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67D" w:rsidRPr="009F4C58" w:rsidRDefault="00D9467D" w:rsidP="00D9467D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9F4C58">
        <w:rPr>
          <w:rFonts w:ascii="Times New Roman" w:hAnsi="Times New Roman" w:cs="Times New Roman"/>
          <w:b/>
          <w:szCs w:val="24"/>
          <w:lang w:val="en-US"/>
        </w:rPr>
        <w:t>Figure S</w:t>
      </w:r>
      <w:r w:rsidR="009F4C58" w:rsidRPr="009F4C58">
        <w:rPr>
          <w:rFonts w:ascii="Times New Roman" w:hAnsi="Times New Roman" w:cs="Times New Roman"/>
          <w:b/>
          <w:szCs w:val="24"/>
          <w:lang w:val="en-US"/>
        </w:rPr>
        <w:t>1.</w:t>
      </w:r>
      <w:r w:rsidRPr="009F4C58">
        <w:rPr>
          <w:rFonts w:ascii="Times New Roman" w:hAnsi="Times New Roman" w:cs="Times New Roman"/>
          <w:b/>
          <w:szCs w:val="24"/>
          <w:lang w:val="en-US"/>
        </w:rPr>
        <w:t>5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Species-level phylogenetic </w:t>
      </w:r>
      <w:r w:rsidR="000A7CFE" w:rsidRPr="009F4C58">
        <w:rPr>
          <w:rFonts w:ascii="Times New Roman" w:hAnsi="Times New Roman" w:cs="Times New Roman"/>
          <w:szCs w:val="24"/>
          <w:lang w:val="en-US"/>
        </w:rPr>
        <w:t>tree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for ammonites of the western Tethys and adjacent areas (after Hardy </w:t>
      </w:r>
      <w:r w:rsidRPr="00AD2688">
        <w:rPr>
          <w:rFonts w:ascii="Times New Roman" w:hAnsi="Times New Roman" w:cs="Times New Roman"/>
          <w:szCs w:val="24"/>
          <w:lang w:val="en-US"/>
        </w:rPr>
        <w:t>et al</w:t>
      </w:r>
      <w:r w:rsidRPr="009F4C58">
        <w:rPr>
          <w:rFonts w:ascii="Times New Roman" w:hAnsi="Times New Roman" w:cs="Times New Roman"/>
          <w:szCs w:val="24"/>
          <w:lang w:val="en-US"/>
        </w:rPr>
        <w:t>., 2012) of the Ibex chronozone with</w:t>
      </w:r>
      <w:r w:rsidR="00956A14">
        <w:rPr>
          <w:rFonts w:ascii="Times New Roman" w:hAnsi="Times New Roman" w:cs="Times New Roman"/>
          <w:szCs w:val="24"/>
          <w:lang w:val="en-US"/>
        </w:rPr>
        <w:t>out recalculated branch lengths</w:t>
      </w:r>
    </w:p>
    <w:p w:rsidR="00D9467D" w:rsidRDefault="00D9467D" w:rsidP="00D9467D">
      <w:pPr>
        <w:rPr>
          <w:lang w:val="en-US"/>
        </w:rPr>
      </w:pPr>
    </w:p>
    <w:p w:rsidR="00D9467D" w:rsidRDefault="00C546EA" w:rsidP="008D488F">
      <w:pPr>
        <w:spacing w:after="240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505811" cy="691200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.Dav.Tethys_rangesOL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11" cy="69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88F" w:rsidRPr="00D9467D" w:rsidRDefault="008D488F" w:rsidP="008D488F">
      <w:pPr>
        <w:spacing w:after="24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52000" cy="12218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ylo_cap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EA" w:rsidRPr="009F4C58" w:rsidRDefault="00C546EA" w:rsidP="00C546EA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9F4C58">
        <w:rPr>
          <w:rFonts w:ascii="Times New Roman" w:hAnsi="Times New Roman" w:cs="Times New Roman"/>
          <w:b/>
          <w:szCs w:val="24"/>
          <w:lang w:val="en-US"/>
        </w:rPr>
        <w:t>Figure S</w:t>
      </w:r>
      <w:r w:rsidR="009F4C58" w:rsidRPr="009F4C58">
        <w:rPr>
          <w:rFonts w:ascii="Times New Roman" w:hAnsi="Times New Roman" w:cs="Times New Roman"/>
          <w:b/>
          <w:szCs w:val="24"/>
          <w:lang w:val="en-US"/>
        </w:rPr>
        <w:t>1.</w:t>
      </w:r>
      <w:r w:rsidRPr="009F4C58">
        <w:rPr>
          <w:rFonts w:ascii="Times New Roman" w:hAnsi="Times New Roman" w:cs="Times New Roman"/>
          <w:b/>
          <w:szCs w:val="24"/>
          <w:lang w:val="en-US"/>
        </w:rPr>
        <w:t>6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Species-level phylogenetic </w:t>
      </w:r>
      <w:r w:rsidR="000A7CFE" w:rsidRPr="009F4C58">
        <w:rPr>
          <w:rFonts w:ascii="Times New Roman" w:hAnsi="Times New Roman" w:cs="Times New Roman"/>
          <w:szCs w:val="24"/>
          <w:lang w:val="en-US"/>
        </w:rPr>
        <w:t>tree</w:t>
      </w:r>
      <w:r w:rsidRPr="009F4C58">
        <w:rPr>
          <w:rFonts w:ascii="Times New Roman" w:hAnsi="Times New Roman" w:cs="Times New Roman"/>
          <w:szCs w:val="24"/>
          <w:lang w:val="en-US"/>
        </w:rPr>
        <w:t xml:space="preserve"> for ammonites of the western Tethys and adjacent areas (after Hardy </w:t>
      </w:r>
      <w:r w:rsidRPr="00AD2688">
        <w:rPr>
          <w:rFonts w:ascii="Times New Roman" w:hAnsi="Times New Roman" w:cs="Times New Roman"/>
          <w:szCs w:val="24"/>
          <w:lang w:val="en-US"/>
        </w:rPr>
        <w:t>et al</w:t>
      </w:r>
      <w:r w:rsidRPr="009F4C58">
        <w:rPr>
          <w:rFonts w:ascii="Times New Roman" w:hAnsi="Times New Roman" w:cs="Times New Roman"/>
          <w:szCs w:val="24"/>
          <w:lang w:val="en-US"/>
        </w:rPr>
        <w:t>., 2012) of the Davoei chronozone with</w:t>
      </w:r>
      <w:r w:rsidR="00956A14">
        <w:rPr>
          <w:rFonts w:ascii="Times New Roman" w:hAnsi="Times New Roman" w:cs="Times New Roman"/>
          <w:szCs w:val="24"/>
          <w:lang w:val="en-US"/>
        </w:rPr>
        <w:t>out recalculated branch lengths</w:t>
      </w:r>
    </w:p>
    <w:p w:rsidR="00226DAC" w:rsidRPr="005327F9" w:rsidRDefault="00226DAC" w:rsidP="005327F9">
      <w:pPr>
        <w:jc w:val="both"/>
        <w:rPr>
          <w:lang w:val="en-US"/>
        </w:rPr>
      </w:pPr>
    </w:p>
    <w:sectPr w:rsidR="00226DAC" w:rsidRPr="005327F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77" w:rsidRDefault="00244A77" w:rsidP="008F05D7">
      <w:pPr>
        <w:spacing w:after="0" w:line="240" w:lineRule="auto"/>
      </w:pPr>
      <w:r>
        <w:separator/>
      </w:r>
    </w:p>
  </w:endnote>
  <w:endnote w:type="continuationSeparator" w:id="0">
    <w:p w:rsidR="00244A77" w:rsidRDefault="00244A77" w:rsidP="008F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23161"/>
      <w:docPartObj>
        <w:docPartGallery w:val="Page Numbers (Bottom of Page)"/>
        <w:docPartUnique/>
      </w:docPartObj>
    </w:sdtPr>
    <w:sdtEndPr/>
    <w:sdtContent>
      <w:p w:rsidR="00353926" w:rsidRDefault="0035392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0C">
          <w:rPr>
            <w:noProof/>
          </w:rPr>
          <w:t>12</w:t>
        </w:r>
        <w:r>
          <w:fldChar w:fldCharType="end"/>
        </w:r>
      </w:p>
    </w:sdtContent>
  </w:sdt>
  <w:p w:rsidR="00353926" w:rsidRPr="008F05D7" w:rsidRDefault="0035392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77" w:rsidRDefault="00244A77" w:rsidP="008F05D7">
      <w:pPr>
        <w:spacing w:after="0" w:line="240" w:lineRule="auto"/>
      </w:pPr>
      <w:r>
        <w:separator/>
      </w:r>
    </w:p>
  </w:footnote>
  <w:footnote w:type="continuationSeparator" w:id="0">
    <w:p w:rsidR="00244A77" w:rsidRDefault="00244A77" w:rsidP="008F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C"/>
    <w:rsid w:val="0008205F"/>
    <w:rsid w:val="00094FB2"/>
    <w:rsid w:val="000A7CFE"/>
    <w:rsid w:val="00122E6D"/>
    <w:rsid w:val="00173A1E"/>
    <w:rsid w:val="00177B37"/>
    <w:rsid w:val="001831C2"/>
    <w:rsid w:val="001A46C5"/>
    <w:rsid w:val="001D4128"/>
    <w:rsid w:val="001F5BE3"/>
    <w:rsid w:val="0022169E"/>
    <w:rsid w:val="00226DAC"/>
    <w:rsid w:val="002308B0"/>
    <w:rsid w:val="00244A77"/>
    <w:rsid w:val="00254CFB"/>
    <w:rsid w:val="002845FF"/>
    <w:rsid w:val="002A3236"/>
    <w:rsid w:val="002D4A79"/>
    <w:rsid w:val="00303C0C"/>
    <w:rsid w:val="003131D6"/>
    <w:rsid w:val="003459FE"/>
    <w:rsid w:val="00353926"/>
    <w:rsid w:val="00383873"/>
    <w:rsid w:val="003D141E"/>
    <w:rsid w:val="00473388"/>
    <w:rsid w:val="00474AAF"/>
    <w:rsid w:val="00496959"/>
    <w:rsid w:val="004D13F7"/>
    <w:rsid w:val="005258EC"/>
    <w:rsid w:val="005327F9"/>
    <w:rsid w:val="00594AA8"/>
    <w:rsid w:val="005B0755"/>
    <w:rsid w:val="00677032"/>
    <w:rsid w:val="00696C30"/>
    <w:rsid w:val="006D4A61"/>
    <w:rsid w:val="006E0D5D"/>
    <w:rsid w:val="00736F0B"/>
    <w:rsid w:val="007D5020"/>
    <w:rsid w:val="00837DFA"/>
    <w:rsid w:val="008B39D1"/>
    <w:rsid w:val="008D488F"/>
    <w:rsid w:val="008F05D7"/>
    <w:rsid w:val="00900BB8"/>
    <w:rsid w:val="00921FE6"/>
    <w:rsid w:val="00923C01"/>
    <w:rsid w:val="00927BB8"/>
    <w:rsid w:val="00956A14"/>
    <w:rsid w:val="00967127"/>
    <w:rsid w:val="009B44A7"/>
    <w:rsid w:val="009C2FBB"/>
    <w:rsid w:val="009F4C58"/>
    <w:rsid w:val="00A26730"/>
    <w:rsid w:val="00A31880"/>
    <w:rsid w:val="00A51ED2"/>
    <w:rsid w:val="00A65BA9"/>
    <w:rsid w:val="00AD2688"/>
    <w:rsid w:val="00B25C7C"/>
    <w:rsid w:val="00B91085"/>
    <w:rsid w:val="00C546EA"/>
    <w:rsid w:val="00D04A72"/>
    <w:rsid w:val="00D411FB"/>
    <w:rsid w:val="00D75166"/>
    <w:rsid w:val="00D9467D"/>
    <w:rsid w:val="00DE46E8"/>
    <w:rsid w:val="00E61B91"/>
    <w:rsid w:val="00E934AA"/>
    <w:rsid w:val="00EA0645"/>
    <w:rsid w:val="00EE293C"/>
    <w:rsid w:val="00F1548B"/>
    <w:rsid w:val="00F232BB"/>
    <w:rsid w:val="00F46E63"/>
    <w:rsid w:val="00F64041"/>
    <w:rsid w:val="00F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06A2B-A7FF-49C6-A5B9-8ACE26CC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C7C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934AA"/>
    <w:pPr>
      <w:spacing w:after="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8F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D7"/>
  </w:style>
  <w:style w:type="paragraph" w:styleId="Footer">
    <w:name w:val="footer"/>
    <w:basedOn w:val="Normal"/>
    <w:link w:val="FooterChar"/>
    <w:uiPriority w:val="99"/>
    <w:unhideWhenUsed/>
    <w:rsid w:val="008F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D7"/>
  </w:style>
  <w:style w:type="paragraph" w:styleId="NormalWeb">
    <w:name w:val="Normal (Web)"/>
    <w:basedOn w:val="Normal"/>
    <w:uiPriority w:val="99"/>
    <w:semiHidden/>
    <w:unhideWhenUsed/>
    <w:rsid w:val="0053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2177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</dc:creator>
  <cp:keywords/>
  <dc:description/>
  <cp:lastModifiedBy>Sebastian Tello</cp:lastModifiedBy>
  <cp:revision>2</cp:revision>
  <dcterms:created xsi:type="dcterms:W3CDTF">2018-10-15T14:06:00Z</dcterms:created>
  <dcterms:modified xsi:type="dcterms:W3CDTF">2018-10-15T14:06:00Z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id="ns6mqspP"/&gt;&lt;style id="http://www.zotero.org/styles/global-ecology-and-biogeography" hasBibliography="1" bibliographyStyleHasBeenSet="1"/&gt;&lt;prefs&gt;&lt;pref name="fieldType" value="Field"/&gt;&lt;pref name</vt:lpwstr>
  </property>
  <property fmtid="{D5CDD505-2E9C-101B-9397-08002B2CF9AE}" pid="3" name="ZOTERO_PREF_2">
    <vt:lpwstr>="storeReferences" value="true"/&gt;&lt;pref name="automaticJournalAbbreviations" value=""/&gt;&lt;pref name="noteType" value=""/&gt;&lt;/prefs&gt;&lt;/data&gt;</vt:lpwstr>
  </property>
</Properties>
</file>