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D8EE" w14:textId="31AB8377" w:rsidR="000B764A" w:rsidRPr="009A07C7" w:rsidRDefault="00235270" w:rsidP="000541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07C7">
        <w:rPr>
          <w:rFonts w:ascii="Times New Roman" w:hAnsi="Times New Roman" w:cs="Times New Roman"/>
          <w:b/>
          <w:sz w:val="24"/>
          <w:szCs w:val="24"/>
        </w:rPr>
        <w:t>APPENDIX</w:t>
      </w:r>
      <w:r w:rsidR="00054178" w:rsidRPr="009A07C7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653F77" w:rsidRPr="009A07C7">
        <w:rPr>
          <w:rFonts w:ascii="Times New Roman" w:hAnsi="Times New Roman" w:cs="Times New Roman"/>
          <w:b/>
          <w:sz w:val="24"/>
          <w:szCs w:val="24"/>
        </w:rPr>
        <w:t>2</w:t>
      </w:r>
      <w:r w:rsidR="00054178" w:rsidRPr="009A07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07C7">
        <w:rPr>
          <w:rFonts w:ascii="Times New Roman" w:hAnsi="Times New Roman" w:cs="Times New Roman"/>
          <w:b/>
          <w:sz w:val="24"/>
          <w:szCs w:val="24"/>
        </w:rPr>
        <w:t>LOCAL VEGETATION SAMPLING AND DATA PROCESSING</w:t>
      </w:r>
    </w:p>
    <w:p w14:paraId="26381C4C" w14:textId="1AFAEBBD" w:rsidR="00054178" w:rsidRPr="009A07C7" w:rsidRDefault="00054178" w:rsidP="0005417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07C7">
        <w:rPr>
          <w:rFonts w:ascii="Times New Roman" w:hAnsi="Times New Roman" w:cs="Times New Roman"/>
          <w:sz w:val="24"/>
          <w:szCs w:val="24"/>
        </w:rPr>
        <w:t>We sampled vegetation in 2011 and 2013 at all sites, and a third time in 2012 in cases where the site had been vis</w:t>
      </w:r>
      <w:bookmarkStart w:id="0" w:name="_GoBack"/>
      <w:bookmarkEnd w:id="0"/>
      <w:r w:rsidRPr="009A07C7">
        <w:rPr>
          <w:rFonts w:ascii="Times New Roman" w:hAnsi="Times New Roman" w:cs="Times New Roman"/>
          <w:sz w:val="24"/>
          <w:szCs w:val="24"/>
        </w:rPr>
        <w:t xml:space="preserve">ibly disturbed.  During each survey we </w:t>
      </w:r>
      <w:r w:rsidR="001F313D" w:rsidRPr="009A07C7">
        <w:rPr>
          <w:rFonts w:ascii="Times New Roman" w:hAnsi="Times New Roman" w:cs="Times New Roman"/>
          <w:sz w:val="24"/>
          <w:szCs w:val="24"/>
        </w:rPr>
        <w:t xml:space="preserve">collected vegetation information centered around two points, one on the point count station itself, and another 30 m from the point count station in a randomly chosen cardinal direction.  At each </w:t>
      </w:r>
      <w:r w:rsidR="005D6D32" w:rsidRPr="009A07C7">
        <w:rPr>
          <w:rFonts w:ascii="Times New Roman" w:hAnsi="Times New Roman" w:cs="Times New Roman"/>
          <w:sz w:val="24"/>
          <w:szCs w:val="24"/>
        </w:rPr>
        <w:t>of the two points</w:t>
      </w:r>
      <w:r w:rsidR="001F313D" w:rsidRPr="009A07C7">
        <w:rPr>
          <w:rFonts w:ascii="Times New Roman" w:hAnsi="Times New Roman" w:cs="Times New Roman"/>
          <w:sz w:val="24"/>
          <w:szCs w:val="24"/>
        </w:rPr>
        <w:t xml:space="preserve">, we recorded tree basal area using a 2 basal-area factor forester’s prism (Cruise Master, Forestry Suppliers, Jackson, MS).  We then </w:t>
      </w:r>
      <w:r w:rsidRPr="009A07C7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1F313D" w:rsidRPr="009A07C7">
        <w:rPr>
          <w:rFonts w:ascii="Times New Roman" w:hAnsi="Times New Roman" w:cs="Times New Roman"/>
          <w:sz w:val="24"/>
          <w:szCs w:val="24"/>
        </w:rPr>
        <w:t xml:space="preserve">a </w:t>
      </w:r>
      <w:r w:rsidRPr="009A07C7">
        <w:rPr>
          <w:rFonts w:ascii="Times New Roman" w:hAnsi="Times New Roman" w:cs="Times New Roman"/>
          <w:sz w:val="24"/>
          <w:szCs w:val="24"/>
        </w:rPr>
        <w:t xml:space="preserve">5 m radius circle </w:t>
      </w:r>
      <w:r w:rsidR="001F313D" w:rsidRPr="009A07C7">
        <w:rPr>
          <w:rFonts w:ascii="Times New Roman" w:hAnsi="Times New Roman" w:cs="Times New Roman"/>
          <w:sz w:val="24"/>
          <w:szCs w:val="24"/>
        </w:rPr>
        <w:t xml:space="preserve">around each </w:t>
      </w:r>
      <w:r w:rsidR="005D6D32" w:rsidRPr="009A07C7">
        <w:rPr>
          <w:rFonts w:ascii="Times New Roman" w:hAnsi="Times New Roman" w:cs="Times New Roman"/>
          <w:sz w:val="24"/>
          <w:szCs w:val="24"/>
        </w:rPr>
        <w:t>point</w:t>
      </w:r>
      <w:r w:rsidR="001F313D" w:rsidRPr="009A07C7">
        <w:rPr>
          <w:rFonts w:ascii="Times New Roman" w:hAnsi="Times New Roman" w:cs="Times New Roman"/>
          <w:sz w:val="24"/>
          <w:szCs w:val="24"/>
        </w:rPr>
        <w:t xml:space="preserve"> in which we</w:t>
      </w:r>
      <w:r w:rsidRPr="009A07C7">
        <w:rPr>
          <w:rFonts w:ascii="Times New Roman" w:hAnsi="Times New Roman" w:cs="Times New Roman"/>
          <w:sz w:val="24"/>
          <w:szCs w:val="24"/>
        </w:rPr>
        <w:t xml:space="preserve"> recorded: an ocular estimate of shrub cover; canopy cover using 10 samples from a vertical viewing tube (</w:t>
      </w:r>
      <w:proofErr w:type="spellStart"/>
      <w:r w:rsidRPr="009A07C7">
        <w:rPr>
          <w:rFonts w:ascii="Times New Roman" w:hAnsi="Times New Roman" w:cs="Times New Roman"/>
          <w:sz w:val="24"/>
          <w:szCs w:val="24"/>
        </w:rPr>
        <w:t>Emlen</w:t>
      </w:r>
      <w:proofErr w:type="spellEnd"/>
      <w:r w:rsidR="00961EE1" w:rsidRPr="009A07C7">
        <w:rPr>
          <w:rFonts w:ascii="Times New Roman" w:hAnsi="Times New Roman" w:cs="Times New Roman"/>
          <w:sz w:val="24"/>
          <w:szCs w:val="24"/>
        </w:rPr>
        <w:t>,</w:t>
      </w:r>
      <w:r w:rsidRPr="009A07C7">
        <w:rPr>
          <w:rFonts w:ascii="Times New Roman" w:hAnsi="Times New Roman" w:cs="Times New Roman"/>
          <w:sz w:val="24"/>
          <w:szCs w:val="24"/>
        </w:rPr>
        <w:t xml:space="preserve"> 1967); and leaf litter depth and vertical foliage density (VFD) from four points on the periphery of the subplot (one in each cardinal direction).  We estimated VFD as the proportion of ¼ m sections of a 5 m retractable painter’s pole (Mr. </w:t>
      </w:r>
      <w:proofErr w:type="spellStart"/>
      <w:r w:rsidRPr="009A07C7">
        <w:rPr>
          <w:rFonts w:ascii="Times New Roman" w:hAnsi="Times New Roman" w:cs="Times New Roman"/>
          <w:sz w:val="24"/>
          <w:szCs w:val="24"/>
        </w:rPr>
        <w:t>LongArm</w:t>
      </w:r>
      <w:proofErr w:type="spellEnd"/>
      <w:r w:rsidRPr="009A07C7">
        <w:rPr>
          <w:rFonts w:ascii="Times New Roman" w:hAnsi="Times New Roman" w:cs="Times New Roman"/>
          <w:sz w:val="24"/>
          <w:szCs w:val="24"/>
        </w:rPr>
        <w:t xml:space="preserve"> #6618, A &amp; M Products, Pleasant Hill, MO) contacted by live vegetation.  We averaged all variables across the two subplots in each year.</w:t>
      </w:r>
      <w:r w:rsidR="00FA513F" w:rsidRPr="009A07C7">
        <w:rPr>
          <w:rFonts w:ascii="Times New Roman" w:hAnsi="Times New Roman" w:cs="Times New Roman"/>
          <w:sz w:val="24"/>
          <w:szCs w:val="24"/>
        </w:rPr>
        <w:t xml:space="preserve">  Note that we were not specifically interested in quantifying the effects of vegetation structure on breeding bird distributions, but rather in accounting for local heterogeneity</w:t>
      </w:r>
      <w:r w:rsidR="00EA5A6D" w:rsidRPr="009A07C7">
        <w:rPr>
          <w:rFonts w:ascii="Times New Roman" w:hAnsi="Times New Roman" w:cs="Times New Roman"/>
          <w:sz w:val="24"/>
          <w:szCs w:val="24"/>
        </w:rPr>
        <w:t xml:space="preserve"> among points</w:t>
      </w:r>
      <w:r w:rsidR="00FA513F" w:rsidRPr="009A07C7">
        <w:rPr>
          <w:rFonts w:ascii="Times New Roman" w:hAnsi="Times New Roman" w:cs="Times New Roman"/>
          <w:sz w:val="24"/>
          <w:szCs w:val="24"/>
        </w:rPr>
        <w:t xml:space="preserve">.  Thus, the information collected during these vegetation surveys was not meant to be comprehensive, but rather to provide a sample of the habitat available to birds using </w:t>
      </w:r>
      <w:r w:rsidR="00EB03E8" w:rsidRPr="009A07C7">
        <w:rPr>
          <w:rFonts w:ascii="Times New Roman" w:hAnsi="Times New Roman" w:cs="Times New Roman"/>
          <w:sz w:val="24"/>
          <w:szCs w:val="24"/>
        </w:rPr>
        <w:t>our</w:t>
      </w:r>
      <w:r w:rsidR="00FA513F" w:rsidRPr="009A07C7">
        <w:rPr>
          <w:rFonts w:ascii="Times New Roman" w:hAnsi="Times New Roman" w:cs="Times New Roman"/>
          <w:sz w:val="24"/>
          <w:szCs w:val="24"/>
        </w:rPr>
        <w:t xml:space="preserve"> point count stations.</w:t>
      </w:r>
    </w:p>
    <w:p w14:paraId="51A25092" w14:textId="37A0491D" w:rsidR="00164EBD" w:rsidRPr="009A07C7" w:rsidRDefault="0073472D" w:rsidP="00054178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A07C7">
        <w:rPr>
          <w:rFonts w:ascii="Times New Roman" w:hAnsi="Times New Roman" w:cs="Times New Roman"/>
          <w:sz w:val="24"/>
          <w:szCs w:val="24"/>
        </w:rPr>
        <w:t xml:space="preserve">Using the </w:t>
      </w:r>
      <w:proofErr w:type="spellStart"/>
      <w:proofErr w:type="gramStart"/>
      <w:r w:rsidRPr="009A07C7">
        <w:rPr>
          <w:rFonts w:ascii="Times New Roman" w:hAnsi="Times New Roman" w:cs="Times New Roman"/>
          <w:sz w:val="24"/>
          <w:szCs w:val="24"/>
        </w:rPr>
        <w:t>prcomp</w:t>
      </w:r>
      <w:proofErr w:type="spellEnd"/>
      <w:r w:rsidRPr="009A07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A07C7">
        <w:rPr>
          <w:rFonts w:ascii="Times New Roman" w:hAnsi="Times New Roman" w:cs="Times New Roman"/>
          <w:sz w:val="24"/>
          <w:szCs w:val="24"/>
        </w:rPr>
        <w:t xml:space="preserve">) </w:t>
      </w:r>
      <w:r w:rsidR="00297990" w:rsidRPr="009A07C7">
        <w:rPr>
          <w:rFonts w:ascii="Times New Roman" w:hAnsi="Times New Roman" w:cs="Times New Roman"/>
          <w:sz w:val="24"/>
          <w:szCs w:val="24"/>
        </w:rPr>
        <w:t>function in R (v 3.1.2), w</w:t>
      </w:r>
      <w:r w:rsidR="00164EBD" w:rsidRPr="009A07C7">
        <w:rPr>
          <w:rFonts w:ascii="Times New Roman" w:hAnsi="Times New Roman" w:cs="Times New Roman"/>
          <w:sz w:val="24"/>
          <w:szCs w:val="24"/>
        </w:rPr>
        <w:t>e conducted a principal component analysis on our five local vegetation metrics to reduce the number of covariates in our models.  We treated each year-by-point combination as a unique observation in the PCA, and results from the 2011 vegetation survey were applied to 2012 for sites where vegetation was not sampled that year.</w:t>
      </w:r>
      <w:r w:rsidR="00297990" w:rsidRPr="009A07C7">
        <w:rPr>
          <w:rFonts w:ascii="Times New Roman" w:hAnsi="Times New Roman" w:cs="Times New Roman"/>
          <w:sz w:val="24"/>
          <w:szCs w:val="24"/>
        </w:rPr>
        <w:t xml:space="preserve">  The first three principal components represented 77% of the total variance (Table S</w:t>
      </w:r>
      <w:r w:rsidR="00B63277" w:rsidRPr="009A07C7">
        <w:rPr>
          <w:rFonts w:ascii="Times New Roman" w:hAnsi="Times New Roman" w:cs="Times New Roman"/>
          <w:sz w:val="24"/>
          <w:szCs w:val="24"/>
        </w:rPr>
        <w:t>2</w:t>
      </w:r>
      <w:r w:rsidR="0064320D" w:rsidRPr="009A07C7">
        <w:rPr>
          <w:rFonts w:ascii="Times New Roman" w:hAnsi="Times New Roman" w:cs="Times New Roman"/>
          <w:sz w:val="24"/>
          <w:szCs w:val="24"/>
        </w:rPr>
        <w:t>.1</w:t>
      </w:r>
      <w:r w:rsidR="00297990" w:rsidRPr="009A07C7">
        <w:rPr>
          <w:rFonts w:ascii="Times New Roman" w:hAnsi="Times New Roman" w:cs="Times New Roman"/>
          <w:sz w:val="24"/>
          <w:szCs w:val="24"/>
        </w:rPr>
        <w:t>), and we thus chose these to represent local vegetation in our models.</w:t>
      </w:r>
    </w:p>
    <w:p w14:paraId="5CB0B4B5" w14:textId="77777777" w:rsidR="00961EE1" w:rsidRPr="009A07C7" w:rsidRDefault="00961EE1">
      <w:pPr>
        <w:rPr>
          <w:rFonts w:ascii="Times New Roman" w:hAnsi="Times New Roman" w:cs="Times New Roman"/>
          <w:sz w:val="24"/>
          <w:szCs w:val="24"/>
        </w:rPr>
      </w:pPr>
      <w:r w:rsidRPr="009A07C7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3980FD5B" w14:textId="683CC906" w:rsidR="00961EE1" w:rsidRPr="009A07C7" w:rsidRDefault="00961EE1" w:rsidP="00961EE1">
      <w:pPr>
        <w:spacing w:line="48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7C7">
        <w:rPr>
          <w:rFonts w:ascii="Times New Roman" w:eastAsia="Times New Roman" w:hAnsi="Times New Roman" w:cs="Times New Roman"/>
          <w:sz w:val="24"/>
          <w:szCs w:val="24"/>
        </w:rPr>
        <w:t>Emlen</w:t>
      </w:r>
      <w:proofErr w:type="spellEnd"/>
      <w:r w:rsidRPr="009A07C7">
        <w:rPr>
          <w:rFonts w:ascii="Times New Roman" w:eastAsia="Times New Roman" w:hAnsi="Times New Roman" w:cs="Times New Roman"/>
          <w:sz w:val="24"/>
          <w:szCs w:val="24"/>
        </w:rPr>
        <w:t xml:space="preserve">, J. T. (1967) A rapid method for estimating arboreal canopy cover. </w:t>
      </w:r>
      <w:r w:rsidRPr="009A07C7">
        <w:rPr>
          <w:rFonts w:ascii="Times New Roman" w:eastAsia="Times New Roman" w:hAnsi="Times New Roman" w:cs="Times New Roman"/>
          <w:i/>
          <w:sz w:val="24"/>
          <w:szCs w:val="24"/>
        </w:rPr>
        <w:t>Ecology</w:t>
      </w:r>
      <w:r w:rsidRPr="009A07C7">
        <w:rPr>
          <w:rFonts w:ascii="Times New Roman" w:eastAsia="Times New Roman" w:hAnsi="Times New Roman" w:cs="Times New Roman"/>
          <w:sz w:val="24"/>
          <w:szCs w:val="24"/>
        </w:rPr>
        <w:t>, 48, 158-160.</w:t>
      </w:r>
    </w:p>
    <w:p w14:paraId="4BA2B2B7" w14:textId="77777777" w:rsidR="001F33A7" w:rsidRPr="009A07C7" w:rsidRDefault="001F33A7" w:rsidP="000A12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EEB78" w14:textId="75BBA41B" w:rsidR="000A1219" w:rsidRPr="009A07C7" w:rsidRDefault="000A1219" w:rsidP="000A12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07C7">
        <w:rPr>
          <w:rFonts w:ascii="Times New Roman" w:hAnsi="Times New Roman" w:cs="Times New Roman"/>
          <w:b/>
          <w:sz w:val="24"/>
          <w:szCs w:val="24"/>
        </w:rPr>
        <w:t>Table S</w:t>
      </w:r>
      <w:r w:rsidR="00B63277" w:rsidRPr="009A07C7">
        <w:rPr>
          <w:rFonts w:ascii="Times New Roman" w:hAnsi="Times New Roman" w:cs="Times New Roman"/>
          <w:b/>
          <w:sz w:val="24"/>
          <w:szCs w:val="24"/>
        </w:rPr>
        <w:t>2</w:t>
      </w:r>
      <w:r w:rsidR="00A8528D" w:rsidRPr="009A07C7">
        <w:rPr>
          <w:rFonts w:ascii="Times New Roman" w:hAnsi="Times New Roman" w:cs="Times New Roman"/>
          <w:b/>
          <w:sz w:val="24"/>
          <w:szCs w:val="24"/>
        </w:rPr>
        <w:t>.1</w:t>
      </w:r>
      <w:r w:rsidRPr="009A07C7">
        <w:rPr>
          <w:rFonts w:ascii="Times New Roman" w:hAnsi="Times New Roman" w:cs="Times New Roman"/>
          <w:sz w:val="24"/>
          <w:szCs w:val="24"/>
        </w:rPr>
        <w:t xml:space="preserve">.  Results from the principal components analysis of local vegetation variables recorded at </w:t>
      </w:r>
      <w:proofErr w:type="gramStart"/>
      <w:r w:rsidRPr="009A07C7">
        <w:rPr>
          <w:rFonts w:ascii="Times New Roman" w:hAnsi="Times New Roman" w:cs="Times New Roman"/>
          <w:sz w:val="24"/>
          <w:szCs w:val="24"/>
        </w:rPr>
        <w:t>490 point</w:t>
      </w:r>
      <w:proofErr w:type="gramEnd"/>
      <w:r w:rsidRPr="009A07C7">
        <w:rPr>
          <w:rFonts w:ascii="Times New Roman" w:hAnsi="Times New Roman" w:cs="Times New Roman"/>
          <w:sz w:val="24"/>
          <w:szCs w:val="24"/>
        </w:rPr>
        <w:t xml:space="preserve"> count stations in southern Indiana between 2011 and 2013.  We sampled each station two or three times, and considered each year-by-point combination a unique observation.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2589"/>
        <w:gridCol w:w="836"/>
        <w:gridCol w:w="836"/>
        <w:gridCol w:w="836"/>
        <w:gridCol w:w="836"/>
        <w:gridCol w:w="836"/>
      </w:tblGrid>
      <w:tr w:rsidR="009A07C7" w:rsidRPr="009A07C7" w14:paraId="7D0C25D5" w14:textId="77777777" w:rsidTr="00EB4D86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578C1F87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14:paraId="35A25C14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30B34388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PC1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68329132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PC2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76F90E5E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PC3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4BA918DE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PC4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312BEC11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PC5</w:t>
            </w:r>
          </w:p>
        </w:tc>
      </w:tr>
      <w:tr w:rsidR="009A07C7" w:rsidRPr="009A07C7" w14:paraId="50E6E490" w14:textId="77777777" w:rsidTr="00EB4D86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</w:tcBorders>
          </w:tcPr>
          <w:p w14:paraId="56145E87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14:paraId="667B4E83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237FDFE4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7BBD01AB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1CF60724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257CBA09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3CF9A976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C7" w:rsidRPr="009A07C7" w14:paraId="1A7E77ED" w14:textId="77777777" w:rsidTr="00EB4D86">
        <w:trPr>
          <w:trHeight w:val="20"/>
          <w:jc w:val="center"/>
        </w:trPr>
        <w:tc>
          <w:tcPr>
            <w:tcW w:w="1270" w:type="dxa"/>
          </w:tcPr>
          <w:p w14:paraId="44DB5A34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Loadings</w:t>
            </w:r>
          </w:p>
        </w:tc>
        <w:tc>
          <w:tcPr>
            <w:tcW w:w="2589" w:type="dxa"/>
          </w:tcPr>
          <w:p w14:paraId="2E205A54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A360F66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76F98F72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F010EFC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6A8BC14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2441FA2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C7" w:rsidRPr="009A07C7" w14:paraId="35BC843E" w14:textId="77777777" w:rsidTr="00EB4D86">
        <w:trPr>
          <w:trHeight w:val="20"/>
          <w:jc w:val="center"/>
        </w:trPr>
        <w:tc>
          <w:tcPr>
            <w:tcW w:w="1270" w:type="dxa"/>
          </w:tcPr>
          <w:p w14:paraId="00CB6C0F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16FD2E54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Tree basal area</w:t>
            </w:r>
          </w:p>
        </w:tc>
        <w:tc>
          <w:tcPr>
            <w:tcW w:w="836" w:type="dxa"/>
          </w:tcPr>
          <w:p w14:paraId="09E70CCF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-0.39</w:t>
            </w:r>
          </w:p>
        </w:tc>
        <w:tc>
          <w:tcPr>
            <w:tcW w:w="836" w:type="dxa"/>
          </w:tcPr>
          <w:p w14:paraId="7FE31A54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-0.45</w:t>
            </w:r>
          </w:p>
        </w:tc>
        <w:tc>
          <w:tcPr>
            <w:tcW w:w="836" w:type="dxa"/>
          </w:tcPr>
          <w:p w14:paraId="467608C1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36" w:type="dxa"/>
          </w:tcPr>
          <w:p w14:paraId="393ABC7D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-0.65</w:t>
            </w:r>
          </w:p>
        </w:tc>
        <w:tc>
          <w:tcPr>
            <w:tcW w:w="836" w:type="dxa"/>
          </w:tcPr>
          <w:p w14:paraId="1D5DE23A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9A07C7" w:rsidRPr="009A07C7" w14:paraId="75E90362" w14:textId="77777777" w:rsidTr="00EB4D86">
        <w:trPr>
          <w:trHeight w:val="20"/>
          <w:jc w:val="center"/>
        </w:trPr>
        <w:tc>
          <w:tcPr>
            <w:tcW w:w="1270" w:type="dxa"/>
          </w:tcPr>
          <w:p w14:paraId="1C2A08B4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139CB47D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% shrub cover</w:t>
            </w:r>
          </w:p>
        </w:tc>
        <w:tc>
          <w:tcPr>
            <w:tcW w:w="836" w:type="dxa"/>
          </w:tcPr>
          <w:p w14:paraId="7DC4E3BE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36" w:type="dxa"/>
          </w:tcPr>
          <w:p w14:paraId="0561E30B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-0.39</w:t>
            </w:r>
          </w:p>
        </w:tc>
        <w:tc>
          <w:tcPr>
            <w:tcW w:w="836" w:type="dxa"/>
          </w:tcPr>
          <w:p w14:paraId="174FC995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6" w:type="dxa"/>
          </w:tcPr>
          <w:p w14:paraId="6AF50F86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836" w:type="dxa"/>
          </w:tcPr>
          <w:p w14:paraId="566182F0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-0.69</w:t>
            </w:r>
          </w:p>
        </w:tc>
      </w:tr>
      <w:tr w:rsidR="009A07C7" w:rsidRPr="009A07C7" w14:paraId="30540C73" w14:textId="77777777" w:rsidTr="00EB4D86">
        <w:trPr>
          <w:trHeight w:val="20"/>
          <w:jc w:val="center"/>
        </w:trPr>
        <w:tc>
          <w:tcPr>
            <w:tcW w:w="1270" w:type="dxa"/>
          </w:tcPr>
          <w:p w14:paraId="0733AA69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641D2F85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% canopy cover</w:t>
            </w:r>
          </w:p>
        </w:tc>
        <w:tc>
          <w:tcPr>
            <w:tcW w:w="836" w:type="dxa"/>
          </w:tcPr>
          <w:p w14:paraId="4EB4F60E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-0.43</w:t>
            </w:r>
          </w:p>
        </w:tc>
        <w:tc>
          <w:tcPr>
            <w:tcW w:w="836" w:type="dxa"/>
          </w:tcPr>
          <w:p w14:paraId="0F5050C7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-0.45</w:t>
            </w:r>
          </w:p>
        </w:tc>
        <w:tc>
          <w:tcPr>
            <w:tcW w:w="836" w:type="dxa"/>
          </w:tcPr>
          <w:p w14:paraId="1737A608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36" w:type="dxa"/>
          </w:tcPr>
          <w:p w14:paraId="4CE93C2D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836" w:type="dxa"/>
          </w:tcPr>
          <w:p w14:paraId="2AB657D3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</w:tr>
      <w:tr w:rsidR="009A07C7" w:rsidRPr="009A07C7" w14:paraId="5A0F012C" w14:textId="77777777" w:rsidTr="00EB4D86">
        <w:trPr>
          <w:trHeight w:val="20"/>
          <w:jc w:val="center"/>
        </w:trPr>
        <w:tc>
          <w:tcPr>
            <w:tcW w:w="1270" w:type="dxa"/>
          </w:tcPr>
          <w:p w14:paraId="236E669B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5D62FF14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Vertical foliage density</w:t>
            </w:r>
          </w:p>
        </w:tc>
        <w:tc>
          <w:tcPr>
            <w:tcW w:w="836" w:type="dxa"/>
          </w:tcPr>
          <w:p w14:paraId="39E09A00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36" w:type="dxa"/>
          </w:tcPr>
          <w:p w14:paraId="7880D5E0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-0.44</w:t>
            </w:r>
          </w:p>
        </w:tc>
        <w:tc>
          <w:tcPr>
            <w:tcW w:w="836" w:type="dxa"/>
          </w:tcPr>
          <w:p w14:paraId="0199F774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36" w:type="dxa"/>
          </w:tcPr>
          <w:p w14:paraId="0AB6C109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36" w:type="dxa"/>
          </w:tcPr>
          <w:p w14:paraId="201829F9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9A07C7" w:rsidRPr="009A07C7" w14:paraId="1DE5EE41" w14:textId="77777777" w:rsidTr="00EB4D86">
        <w:trPr>
          <w:trHeight w:val="20"/>
          <w:jc w:val="center"/>
        </w:trPr>
        <w:tc>
          <w:tcPr>
            <w:tcW w:w="1270" w:type="dxa"/>
          </w:tcPr>
          <w:p w14:paraId="0CACD0AA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5CCDB31E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Leaf litter depth</w:t>
            </w:r>
          </w:p>
        </w:tc>
        <w:tc>
          <w:tcPr>
            <w:tcW w:w="836" w:type="dxa"/>
          </w:tcPr>
          <w:p w14:paraId="5A5D69ED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836" w:type="dxa"/>
          </w:tcPr>
          <w:p w14:paraId="4CB595BE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-0.50</w:t>
            </w:r>
          </w:p>
        </w:tc>
        <w:tc>
          <w:tcPr>
            <w:tcW w:w="836" w:type="dxa"/>
          </w:tcPr>
          <w:p w14:paraId="6D3E8265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-0.84</w:t>
            </w:r>
          </w:p>
        </w:tc>
        <w:tc>
          <w:tcPr>
            <w:tcW w:w="836" w:type="dxa"/>
          </w:tcPr>
          <w:p w14:paraId="121D5DDF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836" w:type="dxa"/>
          </w:tcPr>
          <w:p w14:paraId="0BA6ED2F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9A07C7" w:rsidRPr="009A07C7" w14:paraId="026F48D9" w14:textId="77777777" w:rsidTr="00EB4D86">
        <w:trPr>
          <w:trHeight w:val="20"/>
          <w:jc w:val="center"/>
        </w:trPr>
        <w:tc>
          <w:tcPr>
            <w:tcW w:w="1270" w:type="dxa"/>
          </w:tcPr>
          <w:p w14:paraId="18F206B6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17F83874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89A86CB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B31EC9E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54F3F31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C3813D0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E5D0AAC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C7" w:rsidRPr="009A07C7" w14:paraId="49A55355" w14:textId="77777777" w:rsidTr="00EB4D86">
        <w:trPr>
          <w:trHeight w:val="20"/>
          <w:jc w:val="center"/>
        </w:trPr>
        <w:tc>
          <w:tcPr>
            <w:tcW w:w="1270" w:type="dxa"/>
          </w:tcPr>
          <w:p w14:paraId="024A50BA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</w:p>
        </w:tc>
        <w:tc>
          <w:tcPr>
            <w:tcW w:w="2589" w:type="dxa"/>
          </w:tcPr>
          <w:p w14:paraId="7807A345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80F8BA4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76CF568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A0F8706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0BBCEC4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FF80A05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C7" w:rsidRPr="009A07C7" w14:paraId="42F44B29" w14:textId="77777777" w:rsidTr="00EB4D86">
        <w:trPr>
          <w:trHeight w:val="20"/>
          <w:jc w:val="center"/>
        </w:trPr>
        <w:tc>
          <w:tcPr>
            <w:tcW w:w="1270" w:type="dxa"/>
          </w:tcPr>
          <w:p w14:paraId="667AC4D6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0EDE213C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  <w:tc>
          <w:tcPr>
            <w:tcW w:w="836" w:type="dxa"/>
          </w:tcPr>
          <w:p w14:paraId="7AADA5F4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836" w:type="dxa"/>
          </w:tcPr>
          <w:p w14:paraId="72C47374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836" w:type="dxa"/>
          </w:tcPr>
          <w:p w14:paraId="758E260B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836" w:type="dxa"/>
          </w:tcPr>
          <w:p w14:paraId="69566C67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36" w:type="dxa"/>
          </w:tcPr>
          <w:p w14:paraId="3389A7BA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9A07C7" w:rsidRPr="009A07C7" w14:paraId="39F64A5A" w14:textId="77777777" w:rsidTr="00EB4D86">
        <w:trPr>
          <w:trHeight w:val="20"/>
          <w:jc w:val="center"/>
        </w:trPr>
        <w:tc>
          <w:tcPr>
            <w:tcW w:w="1270" w:type="dxa"/>
          </w:tcPr>
          <w:p w14:paraId="30F42D67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227E832A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Proportion of variance</w:t>
            </w:r>
          </w:p>
        </w:tc>
        <w:tc>
          <w:tcPr>
            <w:tcW w:w="836" w:type="dxa"/>
          </w:tcPr>
          <w:p w14:paraId="6A7AA551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36" w:type="dxa"/>
          </w:tcPr>
          <w:p w14:paraId="7E250411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836" w:type="dxa"/>
          </w:tcPr>
          <w:p w14:paraId="6D19F2BD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36" w:type="dxa"/>
          </w:tcPr>
          <w:p w14:paraId="17823286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36" w:type="dxa"/>
          </w:tcPr>
          <w:p w14:paraId="78D90DE0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9A07C7" w:rsidRPr="009A07C7" w14:paraId="47DAB17A" w14:textId="77777777" w:rsidTr="00EB4D86">
        <w:trPr>
          <w:trHeight w:val="20"/>
          <w:jc w:val="center"/>
        </w:trPr>
        <w:tc>
          <w:tcPr>
            <w:tcW w:w="1270" w:type="dxa"/>
          </w:tcPr>
          <w:p w14:paraId="388F41D4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6ADD2167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Cumulative variance</w:t>
            </w:r>
          </w:p>
        </w:tc>
        <w:tc>
          <w:tcPr>
            <w:tcW w:w="836" w:type="dxa"/>
          </w:tcPr>
          <w:p w14:paraId="40575FE2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36" w:type="dxa"/>
          </w:tcPr>
          <w:p w14:paraId="7306377E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36" w:type="dxa"/>
          </w:tcPr>
          <w:p w14:paraId="508BC72C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36" w:type="dxa"/>
          </w:tcPr>
          <w:p w14:paraId="1D64BA21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836" w:type="dxa"/>
          </w:tcPr>
          <w:p w14:paraId="3C4540FB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C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A1219" w:rsidRPr="009A07C7" w14:paraId="79436207" w14:textId="77777777" w:rsidTr="00EB4D86">
        <w:trPr>
          <w:trHeight w:val="20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2BD77C6C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04CD12AE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4A524FB6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52C8E34A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7FC4767B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2F023C67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03D40EAB" w14:textId="77777777" w:rsidR="000A1219" w:rsidRPr="009A07C7" w:rsidRDefault="000A1219" w:rsidP="00EB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149151" w14:textId="77777777" w:rsidR="00647F1C" w:rsidRPr="009A07C7" w:rsidRDefault="00647F1C" w:rsidP="00A20AEF"/>
    <w:sectPr w:rsidR="00647F1C" w:rsidRPr="009A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A6"/>
    <w:rsid w:val="00054178"/>
    <w:rsid w:val="000A1219"/>
    <w:rsid w:val="000B764A"/>
    <w:rsid w:val="001519DD"/>
    <w:rsid w:val="00164EBD"/>
    <w:rsid w:val="00181929"/>
    <w:rsid w:val="001F313D"/>
    <w:rsid w:val="001F33A7"/>
    <w:rsid w:val="00213EA1"/>
    <w:rsid w:val="00234669"/>
    <w:rsid w:val="00235270"/>
    <w:rsid w:val="00287405"/>
    <w:rsid w:val="00297990"/>
    <w:rsid w:val="002D741A"/>
    <w:rsid w:val="003D3B62"/>
    <w:rsid w:val="00453267"/>
    <w:rsid w:val="005D6D32"/>
    <w:rsid w:val="0064320D"/>
    <w:rsid w:val="00647F1C"/>
    <w:rsid w:val="00653F77"/>
    <w:rsid w:val="0073472D"/>
    <w:rsid w:val="007E7BC6"/>
    <w:rsid w:val="009003A0"/>
    <w:rsid w:val="00961EE1"/>
    <w:rsid w:val="009A07C7"/>
    <w:rsid w:val="00A20AEF"/>
    <w:rsid w:val="00A8528D"/>
    <w:rsid w:val="00B327E7"/>
    <w:rsid w:val="00B63277"/>
    <w:rsid w:val="00BB0AA6"/>
    <w:rsid w:val="00D9135D"/>
    <w:rsid w:val="00EA5A6D"/>
    <w:rsid w:val="00EB03E8"/>
    <w:rsid w:val="00EB4D86"/>
    <w:rsid w:val="00F57950"/>
    <w:rsid w:val="00F669A3"/>
    <w:rsid w:val="00FA513F"/>
    <w:rsid w:val="00FB7C41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0EFB"/>
  <w15:chartTrackingRefBased/>
  <w15:docId w15:val="{0DDD94A9-FDB6-48C8-9B9D-D6FDF5E2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Valente, Jonathon Joseph</dc:creator>
  <cp:keywords/>
  <dc:description/>
  <cp:lastModifiedBy>Jonathon</cp:lastModifiedBy>
  <cp:revision>2</cp:revision>
  <dcterms:created xsi:type="dcterms:W3CDTF">2018-08-05T02:33:00Z</dcterms:created>
  <dcterms:modified xsi:type="dcterms:W3CDTF">2018-08-05T02:33:00Z</dcterms:modified>
</cp:coreProperties>
</file>