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0" w:rsidRPr="00F3662A" w:rsidRDefault="00BA773F" w:rsidP="003340B0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Table S2.</w:t>
      </w:r>
      <w:r w:rsidR="003340B0" w:rsidRPr="00F3662A">
        <w:rPr>
          <w:sz w:val="22"/>
          <w:szCs w:val="22"/>
        </w:rPr>
        <w:t xml:space="preserve"> </w:t>
      </w:r>
      <w:r w:rsidR="003340B0" w:rsidRPr="00BA773F">
        <w:rPr>
          <w:b w:val="0"/>
          <w:sz w:val="22"/>
          <w:szCs w:val="22"/>
        </w:rPr>
        <w:t>Studies identified from the literature search that provide evidence for or against the niche breadth-range size hypothesis but were unable to be included in the meta-analysis.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1886"/>
        <w:gridCol w:w="2520"/>
        <w:gridCol w:w="5864"/>
        <w:gridCol w:w="1592"/>
      </w:tblGrid>
      <w:tr w:rsidR="003340B0" w:rsidRPr="00F3662A" w:rsidTr="00190620"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>Study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 xml:space="preserve">Taxonomic group 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>Reasons for exclusion from analysis</w:t>
            </w:r>
          </w:p>
        </w:tc>
        <w:tc>
          <w:tcPr>
            <w:tcW w:w="5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>Findings: was niche breadth related to range size?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>Support (+)</w:t>
            </w:r>
          </w:p>
          <w:p w:rsidR="003340B0" w:rsidRPr="00F3662A" w:rsidRDefault="003340B0" w:rsidP="006E6DFC">
            <w:pPr>
              <w:rPr>
                <w:b/>
              </w:rPr>
            </w:pPr>
            <w:r w:rsidRPr="00F3662A">
              <w:rPr>
                <w:b/>
              </w:rPr>
              <w:t xml:space="preserve">No support (-) </w:t>
            </w:r>
          </w:p>
        </w:tc>
      </w:tr>
      <w:tr w:rsidR="003340B0" w:rsidRPr="00F3662A" w:rsidTr="00190620">
        <w:tc>
          <w:tcPr>
            <w:tcW w:w="2312" w:type="dxa"/>
            <w:tcBorders>
              <w:top w:val="single" w:sz="12" w:space="0" w:color="auto"/>
            </w:tcBorders>
          </w:tcPr>
          <w:p w:rsidR="003340B0" w:rsidRPr="00F3662A" w:rsidRDefault="003340B0" w:rsidP="006E6DFC">
            <w:proofErr w:type="spellStart"/>
            <w:r w:rsidRPr="00F3662A">
              <w:t>Arribas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(2012)</w:t>
            </w:r>
          </w:p>
          <w:p w:rsidR="003340B0" w:rsidRPr="00F3662A" w:rsidRDefault="003340B0" w:rsidP="006E6DFC"/>
        </w:tc>
        <w:tc>
          <w:tcPr>
            <w:tcW w:w="1886" w:type="dxa"/>
            <w:tcBorders>
              <w:top w:val="single" w:sz="12" w:space="0" w:color="auto"/>
            </w:tcBorders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340B0" w:rsidRPr="00F3662A" w:rsidRDefault="003340B0" w:rsidP="006E6DFC">
            <w:r w:rsidRPr="00F3662A">
              <w:t>&lt;4 species in study (</w:t>
            </w:r>
            <w:r>
              <w:rPr>
                <w:i/>
              </w:rPr>
              <w:t>n</w:t>
            </w:r>
            <w:r w:rsidRPr="00F3662A">
              <w:t>=2)</w:t>
            </w:r>
            <w:r>
              <w:t>.</w:t>
            </w:r>
          </w:p>
        </w:tc>
        <w:tc>
          <w:tcPr>
            <w:tcW w:w="5864" w:type="dxa"/>
            <w:tcBorders>
              <w:top w:val="single" w:sz="12" w:space="0" w:color="auto"/>
            </w:tcBorders>
          </w:tcPr>
          <w:p w:rsidR="003340B0" w:rsidRPr="00F3662A" w:rsidRDefault="003340B0" w:rsidP="006E6DFC">
            <w:r w:rsidRPr="00F3662A">
              <w:t xml:space="preserve">Dispersal ability </w:t>
            </w:r>
            <w:r>
              <w:t>(based on</w:t>
            </w:r>
            <w:r w:rsidRPr="00F3662A">
              <w:t xml:space="preserve"> morphological differences</w:t>
            </w:r>
            <w:r>
              <w:t>)</w:t>
            </w:r>
            <w:r w:rsidRPr="00F3662A">
              <w:t xml:space="preserve"> w</w:t>
            </w:r>
            <w:r>
              <w:t>as</w:t>
            </w:r>
            <w:r w:rsidRPr="00F3662A">
              <w:t xml:space="preserve"> associated with the range size</w:t>
            </w:r>
            <w:r>
              <w:t>,</w:t>
            </w:r>
            <w:r w:rsidRPr="00F3662A">
              <w:t xml:space="preserve"> rather than the </w:t>
            </w:r>
            <w:r>
              <w:t>thermal tolerance</w:t>
            </w:r>
            <w:r w:rsidRPr="00F3662A">
              <w:t xml:space="preserve"> </w:t>
            </w:r>
            <w:r>
              <w:t>breadth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3340B0" w:rsidRPr="00F3662A" w:rsidRDefault="003340B0" w:rsidP="006E6DFC">
            <w:pPr>
              <w:jc w:val="center"/>
            </w:pPr>
            <w:r w:rsidRPr="00F3662A">
              <w:t>-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Brandle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 (2003)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Plant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Germination niche breadth.</w:t>
            </w:r>
          </w:p>
        </w:tc>
        <w:tc>
          <w:tcPr>
            <w:tcW w:w="5864" w:type="dxa"/>
          </w:tcPr>
          <w:p w:rsidR="003340B0" w:rsidRPr="00F3662A" w:rsidRDefault="003340B0" w:rsidP="006E6DFC">
            <w:r w:rsidRPr="00F3662A">
              <w:t xml:space="preserve">The germination niche breadth </w:t>
            </w:r>
            <w:r>
              <w:t xml:space="preserve">(phenology) </w:t>
            </w:r>
            <w:r w:rsidRPr="00F3662A">
              <w:t>influences the distributional range sizes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+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Calosi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(2008)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 w:rsidRPr="00F3662A">
              <w:t xml:space="preserve">Same species </w:t>
            </w:r>
            <w:r>
              <w:t>as</w:t>
            </w:r>
            <w:r w:rsidRPr="00F3662A">
              <w:t xml:space="preserve"> </w:t>
            </w:r>
            <w:proofErr w:type="spellStart"/>
            <w:r w:rsidRPr="00F3662A">
              <w:t>Calosi</w:t>
            </w:r>
            <w:proofErr w:type="spellEnd"/>
            <w:r w:rsidRPr="00F3662A">
              <w:t xml:space="preserve"> </w:t>
            </w:r>
            <w:r w:rsidRPr="007E61E3">
              <w:rPr>
                <w:i/>
              </w:rPr>
              <w:t>et al</w:t>
            </w:r>
            <w:r>
              <w:t>.</w:t>
            </w:r>
            <w:r w:rsidRPr="00F3662A">
              <w:t xml:space="preserve"> </w:t>
            </w:r>
            <w:r>
              <w:t>(</w:t>
            </w:r>
            <w:r w:rsidRPr="00F3662A">
              <w:t>2010</w:t>
            </w:r>
            <w:r>
              <w:t>).</w:t>
            </w:r>
          </w:p>
        </w:tc>
        <w:tc>
          <w:tcPr>
            <w:tcW w:w="5864" w:type="dxa"/>
          </w:tcPr>
          <w:p w:rsidR="003340B0" w:rsidRPr="00F3662A" w:rsidRDefault="003340B0" w:rsidP="006E6DFC">
            <w:r w:rsidRPr="00F3662A">
              <w:t xml:space="preserve">The thermal </w:t>
            </w:r>
            <w:r>
              <w:t>tolerance</w:t>
            </w:r>
            <w:r w:rsidRPr="00F3662A">
              <w:t xml:space="preserve"> breath in widespread diving beetles species was greater than in their geographically restricted relatives.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+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Debussche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(2003)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Plant</w:t>
            </w:r>
          </w:p>
        </w:tc>
        <w:tc>
          <w:tcPr>
            <w:tcW w:w="2520" w:type="dxa"/>
          </w:tcPr>
          <w:p w:rsidR="003340B0" w:rsidRPr="00F3662A" w:rsidRDefault="003340B0" w:rsidP="006E6DFC">
            <w:r w:rsidRPr="00F3662A">
              <w:t>&lt;4 species in study (</w:t>
            </w:r>
            <w:r>
              <w:rPr>
                <w:i/>
              </w:rPr>
              <w:t>n</w:t>
            </w:r>
            <w:r w:rsidRPr="00F3662A">
              <w:t>=2)</w:t>
            </w:r>
            <w:r>
              <w:t>.</w:t>
            </w:r>
          </w:p>
        </w:tc>
        <w:tc>
          <w:tcPr>
            <w:tcW w:w="5864" w:type="dxa"/>
          </w:tcPr>
          <w:p w:rsidR="003340B0" w:rsidRPr="00F3662A" w:rsidRDefault="003340B0" w:rsidP="006E6DFC">
            <w:r w:rsidRPr="00F3662A">
              <w:t xml:space="preserve">Depending on the </w:t>
            </w:r>
            <w:r>
              <w:t xml:space="preserve">specific environmental variables used, </w:t>
            </w:r>
            <w:r w:rsidRPr="00F3662A">
              <w:t xml:space="preserve">habitat breath for the endemic </w:t>
            </w:r>
            <w:r w:rsidRPr="00292583">
              <w:rPr>
                <w:i/>
              </w:rPr>
              <w:t>Cyclamen</w:t>
            </w:r>
            <w:r w:rsidRPr="00F3662A">
              <w:t xml:space="preserve"> species was either significantly smaller than the widespread species (</w:t>
            </w:r>
            <w:proofErr w:type="spellStart"/>
            <w:r w:rsidRPr="00F3662A">
              <w:t>ie</w:t>
            </w:r>
            <w:proofErr w:type="spellEnd"/>
            <w:r w:rsidRPr="00F3662A">
              <w:t xml:space="preserve"> soil pH, bedrock, mean daily temp of warmest month) or significantly greater (</w:t>
            </w:r>
            <w:proofErr w:type="spellStart"/>
            <w:r w:rsidRPr="00F3662A">
              <w:t>ie</w:t>
            </w:r>
            <w:proofErr w:type="spellEnd"/>
            <w:r w:rsidRPr="00F3662A">
              <w:t xml:space="preserve"> rock +block cover and precipitation).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>
              <w:t>+/</w:t>
            </w:r>
            <w:r w:rsidRPr="00F3662A">
              <w:t>-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Krasnov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(2008)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Correlations between niche breadth and range size not provided and could not be calculated from available data.</w:t>
            </w:r>
          </w:p>
        </w:tc>
        <w:tc>
          <w:tcPr>
            <w:tcW w:w="5864" w:type="dxa"/>
          </w:tcPr>
          <w:p w:rsidR="003340B0" w:rsidRPr="00F3662A" w:rsidRDefault="003340B0" w:rsidP="006E6DFC">
            <w:r>
              <w:t xml:space="preserve">Geographic range size is positively correlated with latitudinal range position; niche breadth is also positively correlated with latitudinal range position.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+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Lambdon</w:t>
            </w:r>
            <w:proofErr w:type="spellEnd"/>
            <w:r w:rsidRPr="00F3662A">
              <w:t xml:space="preserve"> (2008)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Plant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Correlations between niche breadth and range size not provided and could not be calculated from available data.</w:t>
            </w:r>
          </w:p>
        </w:tc>
        <w:tc>
          <w:tcPr>
            <w:tcW w:w="5864" w:type="dxa"/>
          </w:tcPr>
          <w:p w:rsidR="003340B0" w:rsidRPr="00F3662A" w:rsidRDefault="003340B0" w:rsidP="006E6DFC">
            <w:r>
              <w:t xml:space="preserve">For native species, there was a positive relationship between habitat breadth and range size.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+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t>Muhlenberg</w:t>
            </w:r>
            <w:proofErr w:type="spellEnd"/>
            <w:r w:rsidRPr="00F3662A">
              <w:t xml:space="preserve"> </w:t>
            </w:r>
            <w:r w:rsidRPr="002B104F">
              <w:rPr>
                <w:i/>
              </w:rPr>
              <w:t>et al.</w:t>
            </w:r>
            <w:r w:rsidRPr="00F3662A">
              <w:t xml:space="preserve"> (1977)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Correlations between niche breadth and range size not provided and could not be calculated from available data.</w:t>
            </w:r>
          </w:p>
        </w:tc>
        <w:tc>
          <w:tcPr>
            <w:tcW w:w="5864" w:type="dxa"/>
          </w:tcPr>
          <w:p w:rsidR="003340B0" w:rsidRPr="00F3662A" w:rsidRDefault="003340B0" w:rsidP="006E6DFC">
            <w:r>
              <w:t xml:space="preserve">Comparing two islands, average niche breadth was smaller on the larger island.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>
              <w:t>-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proofErr w:type="spellStart"/>
            <w:r w:rsidRPr="00F3662A">
              <w:lastRenderedPageBreak/>
              <w:t>Shkedy</w:t>
            </w:r>
            <w:proofErr w:type="spellEnd"/>
            <w:r w:rsidRPr="00F3662A">
              <w:t xml:space="preserve"> (1992)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 w:rsidRPr="00F3662A">
              <w:t>&lt;4 species in study (</w:t>
            </w:r>
            <w:r>
              <w:rPr>
                <w:i/>
              </w:rPr>
              <w:t>n</w:t>
            </w:r>
            <w:r w:rsidRPr="00F3662A">
              <w:t>=2)</w:t>
            </w:r>
            <w:r>
              <w:t>.</w:t>
            </w:r>
          </w:p>
        </w:tc>
        <w:tc>
          <w:tcPr>
            <w:tcW w:w="5864" w:type="dxa"/>
          </w:tcPr>
          <w:p w:rsidR="003340B0" w:rsidRPr="00F3662A" w:rsidRDefault="003340B0" w:rsidP="006E6DFC">
            <w:r w:rsidRPr="00F3662A">
              <w:t>The species with the wider geographic range had a greater niche breadth</w:t>
            </w:r>
            <w:r>
              <w:t>,</w:t>
            </w:r>
            <w:r w:rsidRPr="00F3662A">
              <w:t xml:space="preserve"> using a broader range of habitats and seed size</w:t>
            </w:r>
            <w:r>
              <w:t>s</w:t>
            </w:r>
            <w:r w:rsidRPr="00F3662A">
              <w:t xml:space="preserve"> over time.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+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r w:rsidRPr="00F3662A">
              <w:t>Southward (1958)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Correlations between niche breadth and range size not provided and could not be calculated from available data.</w:t>
            </w:r>
          </w:p>
        </w:tc>
        <w:tc>
          <w:tcPr>
            <w:tcW w:w="5864" w:type="dxa"/>
          </w:tcPr>
          <w:p w:rsidR="003340B0" w:rsidRPr="00F3662A" w:rsidRDefault="003340B0" w:rsidP="006E6DFC">
            <w:r w:rsidRPr="00F3662A">
              <w:t xml:space="preserve">Thermal tolerance was related to geographic </w:t>
            </w:r>
            <w:r>
              <w:t>position</w:t>
            </w:r>
            <w:r w:rsidRPr="00F3662A">
              <w:t xml:space="preserve"> and </w:t>
            </w:r>
            <w:r>
              <w:t xml:space="preserve">position in the intertidal zone. </w:t>
            </w:r>
            <w:r w:rsidRPr="00F3662A">
              <w:t xml:space="preserve"> 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-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F3662A" w:rsidRDefault="003340B0" w:rsidP="006E6DFC">
            <w:r w:rsidRPr="00F3662A">
              <w:t>Ta</w:t>
            </w:r>
            <w:r>
              <w:t>l</w:t>
            </w:r>
            <w:r w:rsidRPr="00F3662A">
              <w:t xml:space="preserve">es </w:t>
            </w:r>
            <w:r w:rsidRPr="002B104F">
              <w:rPr>
                <w:i/>
              </w:rPr>
              <w:t>et al.</w:t>
            </w:r>
            <w:r w:rsidRPr="00F3662A">
              <w:t xml:space="preserve"> (2004)</w:t>
            </w:r>
          </w:p>
        </w:tc>
        <w:tc>
          <w:tcPr>
            <w:tcW w:w="1886" w:type="dxa"/>
          </w:tcPr>
          <w:p w:rsidR="003340B0" w:rsidRPr="00F3662A" w:rsidRDefault="003340B0" w:rsidP="006E6DFC">
            <w:r w:rsidRPr="00F3662A">
              <w:t>Animal</w:t>
            </w:r>
          </w:p>
        </w:tc>
        <w:tc>
          <w:tcPr>
            <w:tcW w:w="2520" w:type="dxa"/>
          </w:tcPr>
          <w:p w:rsidR="003340B0" w:rsidRPr="00F3662A" w:rsidRDefault="003340B0" w:rsidP="006E6DFC">
            <w:r>
              <w:t>Correlations between niche breadth and range size not provided and could not be calculated from available data.</w:t>
            </w:r>
          </w:p>
        </w:tc>
        <w:tc>
          <w:tcPr>
            <w:tcW w:w="5864" w:type="dxa"/>
          </w:tcPr>
          <w:p w:rsidR="003340B0" w:rsidRPr="00F3662A" w:rsidRDefault="003340B0" w:rsidP="006E6DFC">
            <w:r>
              <w:t xml:space="preserve">No relationship between niche breadth and range size, but </w:t>
            </w:r>
            <w:r w:rsidRPr="00F3662A">
              <w:t xml:space="preserve">species occupying marginal habitats tend to have lower density and narrow distribution compared to species occupying </w:t>
            </w:r>
            <w:r>
              <w:t>common</w:t>
            </w:r>
            <w:r w:rsidRPr="00F3662A">
              <w:t xml:space="preserve"> habitats</w:t>
            </w:r>
            <w:r>
              <w:t>.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-</w:t>
            </w:r>
          </w:p>
        </w:tc>
      </w:tr>
      <w:tr w:rsidR="003340B0" w:rsidRPr="00F3662A" w:rsidTr="00190620">
        <w:tc>
          <w:tcPr>
            <w:tcW w:w="2312" w:type="dxa"/>
          </w:tcPr>
          <w:p w:rsidR="003340B0" w:rsidRPr="003B2BDD" w:rsidRDefault="003340B0" w:rsidP="006E6DFC">
            <w:r w:rsidRPr="003B2BDD">
              <w:t xml:space="preserve">Thompson </w:t>
            </w:r>
            <w:r w:rsidRPr="002B104F">
              <w:rPr>
                <w:i/>
              </w:rPr>
              <w:t>et al.</w:t>
            </w:r>
            <w:r w:rsidRPr="003B2BDD">
              <w:t xml:space="preserve"> 2003</w:t>
            </w:r>
          </w:p>
        </w:tc>
        <w:tc>
          <w:tcPr>
            <w:tcW w:w="1886" w:type="dxa"/>
          </w:tcPr>
          <w:p w:rsidR="003340B0" w:rsidRPr="003B2BDD" w:rsidRDefault="003340B0" w:rsidP="006E6DFC">
            <w:r w:rsidRPr="003B2BDD">
              <w:t>Plant</w:t>
            </w:r>
          </w:p>
        </w:tc>
        <w:tc>
          <w:tcPr>
            <w:tcW w:w="2520" w:type="dxa"/>
          </w:tcPr>
          <w:p w:rsidR="003340B0" w:rsidRPr="003B2BDD" w:rsidRDefault="003340B0" w:rsidP="006E6DFC">
            <w:r w:rsidRPr="003B2BDD">
              <w:t>Germination niche breadth</w:t>
            </w:r>
            <w:r>
              <w:t>.</w:t>
            </w:r>
          </w:p>
        </w:tc>
        <w:tc>
          <w:tcPr>
            <w:tcW w:w="5864" w:type="dxa"/>
          </w:tcPr>
          <w:p w:rsidR="003340B0" w:rsidRPr="00F3662A" w:rsidRDefault="003340B0" w:rsidP="006E6DFC">
            <w:r>
              <w:t>No relationship between germination niche width and geographic range size.</w:t>
            </w:r>
          </w:p>
        </w:tc>
        <w:tc>
          <w:tcPr>
            <w:tcW w:w="1592" w:type="dxa"/>
          </w:tcPr>
          <w:p w:rsidR="003340B0" w:rsidRPr="00F3662A" w:rsidRDefault="003340B0" w:rsidP="006E6DFC">
            <w:pPr>
              <w:jc w:val="center"/>
            </w:pPr>
            <w:r w:rsidRPr="00F3662A">
              <w:t>-</w:t>
            </w:r>
          </w:p>
        </w:tc>
      </w:tr>
      <w:tr w:rsidR="003340B0" w:rsidRPr="00F3662A" w:rsidTr="00190620">
        <w:tc>
          <w:tcPr>
            <w:tcW w:w="2312" w:type="dxa"/>
            <w:tcBorders>
              <w:bottom w:val="single" w:sz="12" w:space="0" w:color="auto"/>
            </w:tcBorders>
          </w:tcPr>
          <w:p w:rsidR="003340B0" w:rsidRPr="00F3662A" w:rsidRDefault="003340B0" w:rsidP="006E6DFC">
            <w:r w:rsidRPr="00F3662A">
              <w:t xml:space="preserve">Thompson </w:t>
            </w:r>
            <w:r w:rsidRPr="002B104F">
              <w:rPr>
                <w:i/>
              </w:rPr>
              <w:t>et al.</w:t>
            </w:r>
            <w:r w:rsidRPr="00F3662A">
              <w:t xml:space="preserve"> 1999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3340B0" w:rsidRPr="00F3662A" w:rsidRDefault="003340B0" w:rsidP="006E6DFC">
            <w:r w:rsidRPr="00F3662A">
              <w:t>Plant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340B0" w:rsidRPr="00F3662A" w:rsidRDefault="003340B0" w:rsidP="006E6DFC">
            <w:r>
              <w:t xml:space="preserve">Subset of the species used by Thompson </w:t>
            </w:r>
            <w:r w:rsidRPr="007E61E3">
              <w:rPr>
                <w:i/>
              </w:rPr>
              <w:t>et al</w:t>
            </w:r>
            <w:r>
              <w:t>. (1998).</w:t>
            </w:r>
          </w:p>
        </w:tc>
        <w:tc>
          <w:tcPr>
            <w:tcW w:w="5864" w:type="dxa"/>
            <w:tcBorders>
              <w:bottom w:val="single" w:sz="12" w:space="0" w:color="auto"/>
            </w:tcBorders>
          </w:tcPr>
          <w:p w:rsidR="003340B0" w:rsidRPr="00F3662A" w:rsidRDefault="003340B0" w:rsidP="006E6DFC">
            <w:r w:rsidRPr="00F3662A">
              <w:t xml:space="preserve">No support for the germination niche breadth in relation to the herbaceous flora of central England and geographic range size.  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3340B0" w:rsidRPr="00F3662A" w:rsidRDefault="003340B0" w:rsidP="006E6DFC">
            <w:pPr>
              <w:jc w:val="center"/>
            </w:pPr>
            <w:r w:rsidRPr="00F3662A">
              <w:t>-</w:t>
            </w:r>
          </w:p>
        </w:tc>
      </w:tr>
    </w:tbl>
    <w:p w:rsidR="003340B0" w:rsidRDefault="003340B0" w:rsidP="003340B0">
      <w:pPr>
        <w:pStyle w:val="Caption"/>
        <w:rPr>
          <w:sz w:val="22"/>
          <w:szCs w:val="22"/>
        </w:rPr>
      </w:pPr>
    </w:p>
    <w:p w:rsidR="003340B0" w:rsidRDefault="003340B0" w:rsidP="003340B0">
      <w:pPr>
        <w:pStyle w:val="Heading2"/>
        <w:rPr>
          <w:sz w:val="22"/>
          <w:szCs w:val="22"/>
        </w:rPr>
      </w:pPr>
    </w:p>
    <w:p w:rsidR="003340B0" w:rsidRPr="00F533BC" w:rsidRDefault="003340B0" w:rsidP="003340B0">
      <w:pPr>
        <w:pStyle w:val="Heading2"/>
      </w:pPr>
      <w:r w:rsidRPr="00F533BC">
        <w:rPr>
          <w:sz w:val="22"/>
          <w:szCs w:val="22"/>
        </w:rPr>
        <w:t>References</w:t>
      </w:r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1" w:name="_ENREF_1"/>
      <w:r w:rsidRPr="0042558E">
        <w:rPr>
          <w:rFonts w:ascii="Calibri" w:hAnsi="Calibri" w:cs="Times New Roman"/>
          <w:noProof/>
        </w:rPr>
        <w:t xml:space="preserve">Arribas P., Velasco J., Abellan P., Sanchez-Fernandez D., Andujar C., Calosi P., Millan A., Ribera I. &amp; Bilton D.T. (2012). Dispersal ability rather than ecological tolerance drives differences in range size between lentic and lotic water beetles (Coleoptera: Hydrophilidae). </w:t>
      </w:r>
      <w:r w:rsidRPr="0042558E">
        <w:rPr>
          <w:rFonts w:ascii="Calibri" w:hAnsi="Calibri" w:cs="Times New Roman"/>
          <w:i/>
          <w:noProof/>
        </w:rPr>
        <w:t>Journal of Biogeography</w:t>
      </w:r>
      <w:r w:rsidRPr="0042558E">
        <w:rPr>
          <w:rFonts w:ascii="Calibri" w:hAnsi="Calibri" w:cs="Times New Roman"/>
          <w:noProof/>
        </w:rPr>
        <w:t>, 39, 984-994.</w:t>
      </w:r>
      <w:bookmarkEnd w:id="1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2" w:name="_ENREF_2"/>
      <w:r w:rsidRPr="0042558E">
        <w:rPr>
          <w:rFonts w:ascii="Calibri" w:hAnsi="Calibri" w:cs="Times New Roman"/>
          <w:noProof/>
        </w:rPr>
        <w:t xml:space="preserve">Brändle M., Stadler J., Klotz S. &amp; Brandl R. (2003). Distributional range size of weedy plant species is correlated to germination patterns. </w:t>
      </w:r>
      <w:r w:rsidRPr="0042558E">
        <w:rPr>
          <w:rFonts w:ascii="Calibri" w:hAnsi="Calibri" w:cs="Times New Roman"/>
          <w:i/>
          <w:noProof/>
        </w:rPr>
        <w:t>Ecology</w:t>
      </w:r>
      <w:r w:rsidRPr="0042558E">
        <w:rPr>
          <w:rFonts w:ascii="Calibri" w:hAnsi="Calibri" w:cs="Times New Roman"/>
          <w:noProof/>
        </w:rPr>
        <w:t>, 84, 136-144.</w:t>
      </w:r>
      <w:bookmarkEnd w:id="2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3" w:name="_ENREF_3"/>
      <w:r w:rsidRPr="0042558E">
        <w:rPr>
          <w:rFonts w:ascii="Calibri" w:hAnsi="Calibri" w:cs="Times New Roman"/>
          <w:noProof/>
        </w:rPr>
        <w:t xml:space="preserve">Calosi P., Bilton D.T., Spicer J.I. &amp; Atfield A. (2008). Thermal tolerance and geographical range size in the </w:t>
      </w:r>
      <w:r w:rsidRPr="0042558E">
        <w:rPr>
          <w:rFonts w:ascii="Calibri" w:hAnsi="Calibri" w:cs="Times New Roman"/>
          <w:i/>
          <w:noProof/>
        </w:rPr>
        <w:t>Agabus brunneus</w:t>
      </w:r>
      <w:r w:rsidRPr="0042558E">
        <w:rPr>
          <w:rFonts w:ascii="Calibri" w:hAnsi="Calibri" w:cs="Times New Roman"/>
          <w:noProof/>
        </w:rPr>
        <w:t xml:space="preserve"> group of European diving beetles (Coleoptera : Dytiscidae). </w:t>
      </w:r>
      <w:r w:rsidRPr="0042558E">
        <w:rPr>
          <w:rFonts w:ascii="Calibri" w:hAnsi="Calibri" w:cs="Times New Roman"/>
          <w:i/>
          <w:noProof/>
        </w:rPr>
        <w:t>Journal of Biogeography</w:t>
      </w:r>
      <w:r w:rsidRPr="0042558E">
        <w:rPr>
          <w:rFonts w:ascii="Calibri" w:hAnsi="Calibri" w:cs="Times New Roman"/>
          <w:noProof/>
        </w:rPr>
        <w:t>, 35, 295-305.</w:t>
      </w:r>
      <w:bookmarkEnd w:id="3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4" w:name="_ENREF_4"/>
      <w:r w:rsidRPr="0042558E">
        <w:rPr>
          <w:rFonts w:ascii="Calibri" w:hAnsi="Calibri" w:cs="Times New Roman"/>
          <w:noProof/>
        </w:rPr>
        <w:t xml:space="preserve">Calosi P., Bilton D.T., Spicer J.I., Votier S.C. &amp; Atfield A. (2010). What determines a species' geographical range? Thermal biology and latitudinal range size relationships in European diving beetles (Coleoptera: Dytiscidae). </w:t>
      </w:r>
      <w:r w:rsidRPr="0042558E">
        <w:rPr>
          <w:rFonts w:ascii="Calibri" w:hAnsi="Calibri" w:cs="Times New Roman"/>
          <w:i/>
          <w:noProof/>
        </w:rPr>
        <w:t>Journal of Animal Ecology</w:t>
      </w:r>
      <w:r w:rsidRPr="0042558E">
        <w:rPr>
          <w:rFonts w:ascii="Calibri" w:hAnsi="Calibri" w:cs="Times New Roman"/>
          <w:noProof/>
        </w:rPr>
        <w:t>, 79, 194-204.</w:t>
      </w:r>
      <w:bookmarkEnd w:id="4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5" w:name="_ENREF_5"/>
      <w:r w:rsidRPr="0042558E">
        <w:rPr>
          <w:rFonts w:ascii="Calibri" w:hAnsi="Calibri" w:cs="Times New Roman"/>
          <w:noProof/>
        </w:rPr>
        <w:t xml:space="preserve">Debussche M. &amp; Thompson J.D. (2003). Habitat differentiation between two closely related Mediterranean plant species, the endemic </w:t>
      </w:r>
      <w:r w:rsidRPr="0042558E">
        <w:rPr>
          <w:rFonts w:ascii="Calibri" w:hAnsi="Calibri" w:cs="Times New Roman"/>
          <w:i/>
          <w:noProof/>
        </w:rPr>
        <w:t>Cyclamen balearicum</w:t>
      </w:r>
      <w:r w:rsidRPr="0042558E">
        <w:rPr>
          <w:rFonts w:ascii="Calibri" w:hAnsi="Calibri" w:cs="Times New Roman"/>
          <w:noProof/>
        </w:rPr>
        <w:t xml:space="preserve"> and the widespread </w:t>
      </w:r>
      <w:r w:rsidRPr="0042558E">
        <w:rPr>
          <w:rFonts w:ascii="Calibri" w:hAnsi="Calibri" w:cs="Times New Roman"/>
          <w:i/>
          <w:noProof/>
        </w:rPr>
        <w:t>C. repandum</w:t>
      </w:r>
      <w:r w:rsidRPr="0042558E">
        <w:rPr>
          <w:rFonts w:ascii="Calibri" w:hAnsi="Calibri" w:cs="Times New Roman"/>
          <w:noProof/>
        </w:rPr>
        <w:t xml:space="preserve">. </w:t>
      </w:r>
      <w:r w:rsidRPr="0042558E">
        <w:rPr>
          <w:rFonts w:ascii="Calibri" w:hAnsi="Calibri" w:cs="Times New Roman"/>
          <w:i/>
          <w:noProof/>
        </w:rPr>
        <w:t>Acta Oecologica</w:t>
      </w:r>
      <w:r w:rsidRPr="0042558E">
        <w:rPr>
          <w:rFonts w:ascii="Calibri" w:hAnsi="Calibri" w:cs="Times New Roman"/>
          <w:noProof/>
        </w:rPr>
        <w:t>, 24, 35-45.</w:t>
      </w:r>
      <w:bookmarkEnd w:id="5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6" w:name="_ENREF_6"/>
      <w:r w:rsidRPr="0042558E">
        <w:rPr>
          <w:rFonts w:ascii="Calibri" w:hAnsi="Calibri" w:cs="Times New Roman"/>
          <w:noProof/>
        </w:rPr>
        <w:lastRenderedPageBreak/>
        <w:t xml:space="preserve">Krasnov B.R., Shenbrot G.I., Khokhlova I.S., Mouillot D. &amp; Poulin R. (2008). Latitudinal gradients in niche breadth: empirical evidence from haematophagous ectoparasites. </w:t>
      </w:r>
      <w:r w:rsidRPr="0042558E">
        <w:rPr>
          <w:rFonts w:ascii="Calibri" w:hAnsi="Calibri" w:cs="Times New Roman"/>
          <w:i/>
          <w:noProof/>
        </w:rPr>
        <w:t>Journal of Biogeography</w:t>
      </w:r>
      <w:r w:rsidRPr="0042558E">
        <w:rPr>
          <w:rFonts w:ascii="Calibri" w:hAnsi="Calibri" w:cs="Times New Roman"/>
          <w:noProof/>
        </w:rPr>
        <w:t>, 35, 592-601.</w:t>
      </w:r>
      <w:bookmarkEnd w:id="6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7" w:name="_ENREF_7"/>
      <w:r w:rsidRPr="0042558E">
        <w:rPr>
          <w:rFonts w:ascii="Calibri" w:hAnsi="Calibri" w:cs="Times New Roman"/>
          <w:noProof/>
        </w:rPr>
        <w:t xml:space="preserve">Lambdon P.W. (2008). Why is habitat breadth correlated strongly with range size? Trends amongst the alien and native floras of Mediterranean islands. </w:t>
      </w:r>
      <w:r w:rsidRPr="0042558E">
        <w:rPr>
          <w:rFonts w:ascii="Calibri" w:hAnsi="Calibri" w:cs="Times New Roman"/>
          <w:i/>
          <w:noProof/>
        </w:rPr>
        <w:t>Journal of Biogeography</w:t>
      </w:r>
      <w:r w:rsidRPr="0042558E">
        <w:rPr>
          <w:rFonts w:ascii="Calibri" w:hAnsi="Calibri" w:cs="Times New Roman"/>
          <w:noProof/>
        </w:rPr>
        <w:t>, 35, 1095-1105.</w:t>
      </w:r>
      <w:bookmarkEnd w:id="7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8" w:name="_ENREF_8"/>
      <w:r w:rsidRPr="0042558E">
        <w:rPr>
          <w:rFonts w:ascii="Calibri" w:hAnsi="Calibri" w:cs="Times New Roman"/>
          <w:noProof/>
        </w:rPr>
        <w:t xml:space="preserve">Muhlenberg M., Leipold D., Mader H.J. &amp; Steinhauer B. (1977). Island ecology of arthropods. 1. Diversity, niches, and resources on some Seychelles islands. </w:t>
      </w:r>
      <w:r w:rsidRPr="0042558E">
        <w:rPr>
          <w:rFonts w:ascii="Calibri" w:hAnsi="Calibri" w:cs="Times New Roman"/>
          <w:i/>
          <w:noProof/>
        </w:rPr>
        <w:t>Oecologia</w:t>
      </w:r>
      <w:r w:rsidRPr="0042558E">
        <w:rPr>
          <w:rFonts w:ascii="Calibri" w:hAnsi="Calibri" w:cs="Times New Roman"/>
          <w:noProof/>
        </w:rPr>
        <w:t>, 29, 117-134.</w:t>
      </w:r>
      <w:bookmarkEnd w:id="8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9" w:name="_ENREF_9"/>
      <w:r w:rsidRPr="0042558E">
        <w:rPr>
          <w:rFonts w:ascii="Calibri" w:hAnsi="Calibri" w:cs="Times New Roman"/>
          <w:noProof/>
        </w:rPr>
        <w:t xml:space="preserve">Shkedy Y. &amp; Safriel U.N. (1992). Niche breadth of two lark species in the desert and the size of their geographical ranges. </w:t>
      </w:r>
      <w:r w:rsidRPr="0042558E">
        <w:rPr>
          <w:rFonts w:ascii="Calibri" w:hAnsi="Calibri" w:cs="Times New Roman"/>
          <w:i/>
          <w:noProof/>
        </w:rPr>
        <w:t>Ornis Scandinavica</w:t>
      </w:r>
      <w:r w:rsidRPr="0042558E">
        <w:rPr>
          <w:rFonts w:ascii="Calibri" w:hAnsi="Calibri" w:cs="Times New Roman"/>
          <w:noProof/>
        </w:rPr>
        <w:t>, 23, 89-95.</w:t>
      </w:r>
      <w:bookmarkEnd w:id="9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10" w:name="_ENREF_10"/>
      <w:r w:rsidRPr="0042558E">
        <w:rPr>
          <w:rFonts w:ascii="Calibri" w:hAnsi="Calibri" w:cs="Times New Roman"/>
          <w:noProof/>
        </w:rPr>
        <w:t xml:space="preserve">Southward A.J. (1958). Note on the temperature tolerances of some intertidal animals in relation to environmental temperatures and geographical distribution. </w:t>
      </w:r>
      <w:r w:rsidRPr="0042558E">
        <w:rPr>
          <w:rFonts w:ascii="Calibri" w:hAnsi="Calibri" w:cs="Times New Roman"/>
          <w:i/>
          <w:noProof/>
        </w:rPr>
        <w:t>Journal of the Marine Biological Association of the United Kingdom</w:t>
      </w:r>
      <w:r w:rsidRPr="0042558E">
        <w:rPr>
          <w:rFonts w:ascii="Calibri" w:hAnsi="Calibri" w:cs="Times New Roman"/>
          <w:noProof/>
        </w:rPr>
        <w:t>, 37, 49-66.</w:t>
      </w:r>
      <w:bookmarkEnd w:id="10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11" w:name="_ENREF_11"/>
      <w:r w:rsidRPr="0042558E">
        <w:rPr>
          <w:rFonts w:ascii="Calibri" w:hAnsi="Calibri" w:cs="Times New Roman"/>
          <w:noProof/>
        </w:rPr>
        <w:t xml:space="preserve">Tales E., Keith P. &amp; Oberdorff T. (2004). Density-range size relationships in French riverine fishes. </w:t>
      </w:r>
      <w:r w:rsidRPr="0042558E">
        <w:rPr>
          <w:rFonts w:ascii="Calibri" w:hAnsi="Calibri" w:cs="Times New Roman"/>
          <w:i/>
          <w:noProof/>
        </w:rPr>
        <w:t>Oecologia</w:t>
      </w:r>
      <w:r w:rsidRPr="0042558E">
        <w:rPr>
          <w:rFonts w:ascii="Calibri" w:hAnsi="Calibri" w:cs="Times New Roman"/>
          <w:noProof/>
        </w:rPr>
        <w:t>, 138, 360-370.</w:t>
      </w:r>
      <w:bookmarkEnd w:id="11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12" w:name="_ENREF_12"/>
      <w:r w:rsidRPr="0042558E">
        <w:rPr>
          <w:rFonts w:ascii="Calibri" w:hAnsi="Calibri" w:cs="Times New Roman"/>
          <w:noProof/>
        </w:rPr>
        <w:t xml:space="preserve">Thompson K. &amp; Ceriani R.M. (2003). No relationship between range size and germination niche width in the UK herbaceous flora. </w:t>
      </w:r>
      <w:r w:rsidRPr="0042558E">
        <w:rPr>
          <w:rFonts w:ascii="Calibri" w:hAnsi="Calibri" w:cs="Times New Roman"/>
          <w:i/>
          <w:noProof/>
        </w:rPr>
        <w:t>Functional Ecology</w:t>
      </w:r>
      <w:r w:rsidRPr="0042558E">
        <w:rPr>
          <w:rFonts w:ascii="Calibri" w:hAnsi="Calibri" w:cs="Times New Roman"/>
          <w:noProof/>
        </w:rPr>
        <w:t>, 17, 335-339.</w:t>
      </w:r>
      <w:bookmarkEnd w:id="12"/>
    </w:p>
    <w:p w:rsidR="003340B0" w:rsidRPr="0042558E" w:rsidRDefault="003340B0" w:rsidP="00A8566E">
      <w:pPr>
        <w:spacing w:after="0" w:line="240" w:lineRule="auto"/>
        <w:ind w:left="284" w:hanging="284"/>
        <w:rPr>
          <w:rFonts w:ascii="Calibri" w:hAnsi="Calibri" w:cs="Times New Roman"/>
          <w:noProof/>
        </w:rPr>
      </w:pPr>
      <w:bookmarkStart w:id="13" w:name="_ENREF_13"/>
      <w:r w:rsidRPr="0042558E">
        <w:rPr>
          <w:rFonts w:ascii="Calibri" w:hAnsi="Calibri" w:cs="Times New Roman"/>
          <w:noProof/>
        </w:rPr>
        <w:t xml:space="preserve">Thompson K., Gaston K.J. &amp; Band S.R. (1999). Range size, dispersal and niche breadth in the herbaceous flora of central England. </w:t>
      </w:r>
      <w:r w:rsidRPr="0042558E">
        <w:rPr>
          <w:rFonts w:ascii="Calibri" w:hAnsi="Calibri" w:cs="Times New Roman"/>
          <w:i/>
          <w:noProof/>
        </w:rPr>
        <w:t>Journal of Ecology</w:t>
      </w:r>
      <w:r w:rsidRPr="0042558E">
        <w:rPr>
          <w:rFonts w:ascii="Calibri" w:hAnsi="Calibri" w:cs="Times New Roman"/>
          <w:noProof/>
        </w:rPr>
        <w:t>, 87, 150-155.</w:t>
      </w:r>
      <w:bookmarkEnd w:id="13"/>
    </w:p>
    <w:p w:rsidR="003340B0" w:rsidRPr="0042558E" w:rsidRDefault="003340B0" w:rsidP="00A8566E">
      <w:pPr>
        <w:spacing w:line="240" w:lineRule="auto"/>
        <w:ind w:left="284" w:hanging="284"/>
        <w:rPr>
          <w:rFonts w:ascii="Calibri" w:hAnsi="Calibri" w:cs="Times New Roman"/>
          <w:noProof/>
        </w:rPr>
      </w:pPr>
      <w:bookmarkStart w:id="14" w:name="_ENREF_14"/>
      <w:r w:rsidRPr="0042558E">
        <w:rPr>
          <w:rFonts w:ascii="Calibri" w:hAnsi="Calibri" w:cs="Times New Roman"/>
          <w:noProof/>
        </w:rPr>
        <w:t xml:space="preserve">Thompson K., Hodgson J.G. &amp; Gaston K.J. (1998). Abundance-range size relationships in the herbaceous flora of central England. </w:t>
      </w:r>
      <w:r w:rsidRPr="0042558E">
        <w:rPr>
          <w:rFonts w:ascii="Calibri" w:hAnsi="Calibri" w:cs="Times New Roman"/>
          <w:i/>
          <w:noProof/>
        </w:rPr>
        <w:t>Journal of Ecology</w:t>
      </w:r>
      <w:r w:rsidRPr="0042558E">
        <w:rPr>
          <w:rFonts w:ascii="Calibri" w:hAnsi="Calibri" w:cs="Times New Roman"/>
          <w:noProof/>
        </w:rPr>
        <w:t>, 86, 439-448.</w:t>
      </w:r>
      <w:bookmarkEnd w:id="14"/>
    </w:p>
    <w:p w:rsidR="003340B0" w:rsidRDefault="003340B0" w:rsidP="003340B0">
      <w:pPr>
        <w:spacing w:line="240" w:lineRule="auto"/>
        <w:rPr>
          <w:rFonts w:ascii="Calibri" w:hAnsi="Calibri" w:cs="Times New Roman"/>
          <w:noProof/>
        </w:rPr>
      </w:pPr>
    </w:p>
    <w:p w:rsidR="003340B0" w:rsidRPr="00E24E97" w:rsidRDefault="003340B0" w:rsidP="003340B0">
      <w:pPr>
        <w:rPr>
          <w:rFonts w:ascii="Times New Roman" w:hAnsi="Times New Roman" w:cs="Times New Roman"/>
        </w:rPr>
      </w:pPr>
    </w:p>
    <w:p w:rsidR="003340B0" w:rsidRDefault="003340B0" w:rsidP="003340B0"/>
    <w:p w:rsidR="00F533BC" w:rsidRPr="003340B0" w:rsidRDefault="00F533BC" w:rsidP="003340B0"/>
    <w:sectPr w:rsidR="00F533BC" w:rsidRPr="003340B0" w:rsidSect="00334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wxav9atzrat4e52zs5wad15rw0r9fer9rw&quot;&gt;Niche meta-a&lt;record-ids&gt;&lt;item&gt;12&lt;/item&gt;&lt;item&gt;14&lt;/item&gt;&lt;item&gt;97&lt;/item&gt;&lt;item&gt;199&lt;/item&gt;&lt;item&gt;614&lt;/item&gt;&lt;item&gt;631&lt;/item&gt;&lt;item&gt;659&lt;/item&gt;&lt;item&gt;661&lt;/item&gt;&lt;item&gt;688&lt;/item&gt;&lt;item&gt;689&lt;/item&gt;&lt;item&gt;702&lt;/item&gt;&lt;item&gt;703&lt;/item&gt;&lt;item&gt;961&lt;/item&gt;&lt;item&gt;1342&lt;/item&gt;&lt;/record-ids&gt;&lt;/item&gt;&lt;/Libraries&gt;"/>
  </w:docVars>
  <w:rsids>
    <w:rsidRoot w:val="00ED3247"/>
    <w:rsid w:val="000057CF"/>
    <w:rsid w:val="0002036B"/>
    <w:rsid w:val="0003114C"/>
    <w:rsid w:val="00037920"/>
    <w:rsid w:val="00041808"/>
    <w:rsid w:val="00041B7D"/>
    <w:rsid w:val="00065305"/>
    <w:rsid w:val="000904F3"/>
    <w:rsid w:val="000958FD"/>
    <w:rsid w:val="00096C4B"/>
    <w:rsid w:val="000B34E2"/>
    <w:rsid w:val="000D6FB9"/>
    <w:rsid w:val="00122626"/>
    <w:rsid w:val="00122C5D"/>
    <w:rsid w:val="00146C2E"/>
    <w:rsid w:val="001476FF"/>
    <w:rsid w:val="00150716"/>
    <w:rsid w:val="00150813"/>
    <w:rsid w:val="00151494"/>
    <w:rsid w:val="0016653B"/>
    <w:rsid w:val="00177844"/>
    <w:rsid w:val="001851CF"/>
    <w:rsid w:val="00190620"/>
    <w:rsid w:val="001A0752"/>
    <w:rsid w:val="001A0A40"/>
    <w:rsid w:val="001A1FA1"/>
    <w:rsid w:val="001A4754"/>
    <w:rsid w:val="001A5C52"/>
    <w:rsid w:val="001C0422"/>
    <w:rsid w:val="001D2286"/>
    <w:rsid w:val="001D4C41"/>
    <w:rsid w:val="002212ED"/>
    <w:rsid w:val="00227F54"/>
    <w:rsid w:val="00230BAE"/>
    <w:rsid w:val="00243F83"/>
    <w:rsid w:val="002500E6"/>
    <w:rsid w:val="00251906"/>
    <w:rsid w:val="00271CCC"/>
    <w:rsid w:val="00273B4C"/>
    <w:rsid w:val="00282522"/>
    <w:rsid w:val="00292583"/>
    <w:rsid w:val="002A478F"/>
    <w:rsid w:val="002B104F"/>
    <w:rsid w:val="002B660F"/>
    <w:rsid w:val="002C6355"/>
    <w:rsid w:val="002D2004"/>
    <w:rsid w:val="002D2B94"/>
    <w:rsid w:val="00306E07"/>
    <w:rsid w:val="00313481"/>
    <w:rsid w:val="00313841"/>
    <w:rsid w:val="00316707"/>
    <w:rsid w:val="0031724C"/>
    <w:rsid w:val="00333810"/>
    <w:rsid w:val="003340B0"/>
    <w:rsid w:val="003374A1"/>
    <w:rsid w:val="00365B8A"/>
    <w:rsid w:val="00366B6E"/>
    <w:rsid w:val="00375682"/>
    <w:rsid w:val="003772FF"/>
    <w:rsid w:val="00380674"/>
    <w:rsid w:val="0038163A"/>
    <w:rsid w:val="00384901"/>
    <w:rsid w:val="003861AD"/>
    <w:rsid w:val="003864DF"/>
    <w:rsid w:val="003A42ED"/>
    <w:rsid w:val="003A749E"/>
    <w:rsid w:val="003B2BDD"/>
    <w:rsid w:val="003B757E"/>
    <w:rsid w:val="003C7050"/>
    <w:rsid w:val="003E25DB"/>
    <w:rsid w:val="003E2B0F"/>
    <w:rsid w:val="003F5F28"/>
    <w:rsid w:val="0040595B"/>
    <w:rsid w:val="004106E7"/>
    <w:rsid w:val="0041222D"/>
    <w:rsid w:val="0042558E"/>
    <w:rsid w:val="00445E45"/>
    <w:rsid w:val="00451506"/>
    <w:rsid w:val="0045205C"/>
    <w:rsid w:val="00463EFB"/>
    <w:rsid w:val="0047377A"/>
    <w:rsid w:val="004739F4"/>
    <w:rsid w:val="004759D7"/>
    <w:rsid w:val="0047738D"/>
    <w:rsid w:val="00496FAF"/>
    <w:rsid w:val="004A2324"/>
    <w:rsid w:val="004A7193"/>
    <w:rsid w:val="004B5FE9"/>
    <w:rsid w:val="004C4237"/>
    <w:rsid w:val="004E01EF"/>
    <w:rsid w:val="00512271"/>
    <w:rsid w:val="00512970"/>
    <w:rsid w:val="005309E6"/>
    <w:rsid w:val="00534569"/>
    <w:rsid w:val="00542FB3"/>
    <w:rsid w:val="00546F06"/>
    <w:rsid w:val="005678A7"/>
    <w:rsid w:val="0058064A"/>
    <w:rsid w:val="00581DA0"/>
    <w:rsid w:val="00584290"/>
    <w:rsid w:val="0058562F"/>
    <w:rsid w:val="005B401F"/>
    <w:rsid w:val="005C1DA4"/>
    <w:rsid w:val="005C4D61"/>
    <w:rsid w:val="005D5398"/>
    <w:rsid w:val="005D62DB"/>
    <w:rsid w:val="005E30DE"/>
    <w:rsid w:val="005F2EEA"/>
    <w:rsid w:val="006005FE"/>
    <w:rsid w:val="006051C3"/>
    <w:rsid w:val="006065B8"/>
    <w:rsid w:val="00611B71"/>
    <w:rsid w:val="00612238"/>
    <w:rsid w:val="00621A96"/>
    <w:rsid w:val="00627DED"/>
    <w:rsid w:val="00664B89"/>
    <w:rsid w:val="00666920"/>
    <w:rsid w:val="00682B2D"/>
    <w:rsid w:val="00684A9A"/>
    <w:rsid w:val="00690394"/>
    <w:rsid w:val="006A136B"/>
    <w:rsid w:val="006A30FD"/>
    <w:rsid w:val="006A371B"/>
    <w:rsid w:val="006A7224"/>
    <w:rsid w:val="006B2D78"/>
    <w:rsid w:val="006E3F2E"/>
    <w:rsid w:val="006E5FF9"/>
    <w:rsid w:val="006F61E6"/>
    <w:rsid w:val="00735B1E"/>
    <w:rsid w:val="00735F9B"/>
    <w:rsid w:val="007366AC"/>
    <w:rsid w:val="007421FC"/>
    <w:rsid w:val="00742EEE"/>
    <w:rsid w:val="00745E1A"/>
    <w:rsid w:val="00754631"/>
    <w:rsid w:val="0077077B"/>
    <w:rsid w:val="00782BA1"/>
    <w:rsid w:val="00784C76"/>
    <w:rsid w:val="007862D1"/>
    <w:rsid w:val="007A3C35"/>
    <w:rsid w:val="007A6722"/>
    <w:rsid w:val="007C6952"/>
    <w:rsid w:val="007E463E"/>
    <w:rsid w:val="007E61E3"/>
    <w:rsid w:val="007F619B"/>
    <w:rsid w:val="00806B43"/>
    <w:rsid w:val="00817960"/>
    <w:rsid w:val="008275AA"/>
    <w:rsid w:val="00835F25"/>
    <w:rsid w:val="00854AC1"/>
    <w:rsid w:val="00880E91"/>
    <w:rsid w:val="008821EF"/>
    <w:rsid w:val="00892B88"/>
    <w:rsid w:val="008A32F8"/>
    <w:rsid w:val="008C59EF"/>
    <w:rsid w:val="008D3BA6"/>
    <w:rsid w:val="008D6B58"/>
    <w:rsid w:val="008E1B02"/>
    <w:rsid w:val="0091682D"/>
    <w:rsid w:val="009306D5"/>
    <w:rsid w:val="0096444E"/>
    <w:rsid w:val="00974EDC"/>
    <w:rsid w:val="009836EE"/>
    <w:rsid w:val="009932C3"/>
    <w:rsid w:val="009C3E95"/>
    <w:rsid w:val="009E2507"/>
    <w:rsid w:val="00A01D97"/>
    <w:rsid w:val="00A04205"/>
    <w:rsid w:val="00A07973"/>
    <w:rsid w:val="00A15EA2"/>
    <w:rsid w:val="00A22FBB"/>
    <w:rsid w:val="00A23760"/>
    <w:rsid w:val="00A30AB5"/>
    <w:rsid w:val="00A375F5"/>
    <w:rsid w:val="00A53014"/>
    <w:rsid w:val="00A65BC4"/>
    <w:rsid w:val="00A663D5"/>
    <w:rsid w:val="00A70FB5"/>
    <w:rsid w:val="00A81533"/>
    <w:rsid w:val="00A81B00"/>
    <w:rsid w:val="00A8566E"/>
    <w:rsid w:val="00A87FAA"/>
    <w:rsid w:val="00A93775"/>
    <w:rsid w:val="00A9437C"/>
    <w:rsid w:val="00AD0FC7"/>
    <w:rsid w:val="00AD11CA"/>
    <w:rsid w:val="00AE4E25"/>
    <w:rsid w:val="00AF4B16"/>
    <w:rsid w:val="00AF70EF"/>
    <w:rsid w:val="00B0127C"/>
    <w:rsid w:val="00B30E26"/>
    <w:rsid w:val="00B34728"/>
    <w:rsid w:val="00B503AA"/>
    <w:rsid w:val="00B5524D"/>
    <w:rsid w:val="00B61785"/>
    <w:rsid w:val="00B64612"/>
    <w:rsid w:val="00B93F29"/>
    <w:rsid w:val="00B964FC"/>
    <w:rsid w:val="00BA0D51"/>
    <w:rsid w:val="00BA75A6"/>
    <w:rsid w:val="00BA773F"/>
    <w:rsid w:val="00BB6E4D"/>
    <w:rsid w:val="00BC7E65"/>
    <w:rsid w:val="00BD266F"/>
    <w:rsid w:val="00BD59D3"/>
    <w:rsid w:val="00BE1AB1"/>
    <w:rsid w:val="00BF0D55"/>
    <w:rsid w:val="00BF5839"/>
    <w:rsid w:val="00C00A45"/>
    <w:rsid w:val="00C15A1A"/>
    <w:rsid w:val="00C34BAD"/>
    <w:rsid w:val="00C371EB"/>
    <w:rsid w:val="00C4417D"/>
    <w:rsid w:val="00C47759"/>
    <w:rsid w:val="00C53B3A"/>
    <w:rsid w:val="00C53B44"/>
    <w:rsid w:val="00C55C71"/>
    <w:rsid w:val="00C6529C"/>
    <w:rsid w:val="00C678B6"/>
    <w:rsid w:val="00C70739"/>
    <w:rsid w:val="00C73C69"/>
    <w:rsid w:val="00C7619F"/>
    <w:rsid w:val="00C821C7"/>
    <w:rsid w:val="00C826E6"/>
    <w:rsid w:val="00C84CE8"/>
    <w:rsid w:val="00C93AD8"/>
    <w:rsid w:val="00C95668"/>
    <w:rsid w:val="00CC27E0"/>
    <w:rsid w:val="00CC6BB2"/>
    <w:rsid w:val="00CE0202"/>
    <w:rsid w:val="00CE4816"/>
    <w:rsid w:val="00CF048E"/>
    <w:rsid w:val="00CF15F3"/>
    <w:rsid w:val="00D04BCD"/>
    <w:rsid w:val="00D2179F"/>
    <w:rsid w:val="00D26BD8"/>
    <w:rsid w:val="00D505F3"/>
    <w:rsid w:val="00D51582"/>
    <w:rsid w:val="00D53506"/>
    <w:rsid w:val="00D61A8A"/>
    <w:rsid w:val="00D620EB"/>
    <w:rsid w:val="00D7504E"/>
    <w:rsid w:val="00D77F6B"/>
    <w:rsid w:val="00D84443"/>
    <w:rsid w:val="00D93E32"/>
    <w:rsid w:val="00D969EA"/>
    <w:rsid w:val="00DB5AAD"/>
    <w:rsid w:val="00DC03A9"/>
    <w:rsid w:val="00DC2A1C"/>
    <w:rsid w:val="00DC6468"/>
    <w:rsid w:val="00DD5106"/>
    <w:rsid w:val="00DE2C80"/>
    <w:rsid w:val="00DE3565"/>
    <w:rsid w:val="00DE75CC"/>
    <w:rsid w:val="00DF72FE"/>
    <w:rsid w:val="00E036EF"/>
    <w:rsid w:val="00E24E97"/>
    <w:rsid w:val="00E31922"/>
    <w:rsid w:val="00E45509"/>
    <w:rsid w:val="00E52512"/>
    <w:rsid w:val="00E535CE"/>
    <w:rsid w:val="00E53620"/>
    <w:rsid w:val="00E616A8"/>
    <w:rsid w:val="00E64754"/>
    <w:rsid w:val="00E73A96"/>
    <w:rsid w:val="00E75B5C"/>
    <w:rsid w:val="00E77DCC"/>
    <w:rsid w:val="00E80D9A"/>
    <w:rsid w:val="00E863C4"/>
    <w:rsid w:val="00EA7410"/>
    <w:rsid w:val="00EB0F37"/>
    <w:rsid w:val="00EB29AD"/>
    <w:rsid w:val="00EC0179"/>
    <w:rsid w:val="00ED3247"/>
    <w:rsid w:val="00ED73FD"/>
    <w:rsid w:val="00EF1085"/>
    <w:rsid w:val="00EF2C78"/>
    <w:rsid w:val="00EF7FD7"/>
    <w:rsid w:val="00F14CB2"/>
    <w:rsid w:val="00F14D1C"/>
    <w:rsid w:val="00F31A74"/>
    <w:rsid w:val="00F3662A"/>
    <w:rsid w:val="00F533BC"/>
    <w:rsid w:val="00F66F20"/>
    <w:rsid w:val="00F74AB0"/>
    <w:rsid w:val="00F81BB9"/>
    <w:rsid w:val="00FA050B"/>
    <w:rsid w:val="00FA13B9"/>
    <w:rsid w:val="00FA16A6"/>
    <w:rsid w:val="00FB7B25"/>
    <w:rsid w:val="00FC462B"/>
    <w:rsid w:val="00FD5078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47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3662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47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3662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J. Sebatian Tello</cp:lastModifiedBy>
  <cp:revision>2</cp:revision>
  <dcterms:created xsi:type="dcterms:W3CDTF">2014-03-05T14:47:00Z</dcterms:created>
  <dcterms:modified xsi:type="dcterms:W3CDTF">2014-03-05T14:47:00Z</dcterms:modified>
</cp:coreProperties>
</file>