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F2E" w:rsidRDefault="00A611E5" w:rsidP="00426B97">
      <w:pPr>
        <w:spacing w:line="480" w:lineRule="auto"/>
        <w:rPr>
          <w:b/>
          <w:i/>
        </w:rPr>
      </w:pPr>
      <w:bookmarkStart w:id="0" w:name="_GoBack"/>
      <w:bookmarkEnd w:id="0"/>
      <w:r>
        <w:rPr>
          <w:b/>
          <w:i/>
        </w:rPr>
        <w:t>Appendix S3</w:t>
      </w:r>
      <w:r w:rsidR="00426B97" w:rsidRPr="00B67D86">
        <w:rPr>
          <w:b/>
          <w:i/>
        </w:rPr>
        <w:t xml:space="preserve">. </w:t>
      </w:r>
      <w:r w:rsidR="007D0A5D">
        <w:rPr>
          <w:b/>
          <w:i/>
        </w:rPr>
        <w:t>S</w:t>
      </w:r>
      <w:r w:rsidR="001C5F2E">
        <w:rPr>
          <w:b/>
          <w:i/>
        </w:rPr>
        <w:t>ensitivity a</w:t>
      </w:r>
      <w:r w:rsidR="00426B97" w:rsidRPr="00B67D86">
        <w:rPr>
          <w:b/>
          <w:i/>
        </w:rPr>
        <w:t>nalyses</w:t>
      </w:r>
      <w:r w:rsidR="001C5F2E">
        <w:rPr>
          <w:b/>
          <w:i/>
        </w:rPr>
        <w:t xml:space="preserve"> </w:t>
      </w:r>
    </w:p>
    <w:p w:rsidR="00426B97" w:rsidRPr="00B67D86" w:rsidRDefault="00426B97" w:rsidP="00426B97">
      <w:pPr>
        <w:spacing w:line="480" w:lineRule="auto"/>
        <w:rPr>
          <w:b/>
          <w:i/>
        </w:rPr>
      </w:pPr>
    </w:p>
    <w:p w:rsidR="00426B97" w:rsidRPr="00B148EF" w:rsidRDefault="00426B97" w:rsidP="00426B97">
      <w:pPr>
        <w:spacing w:line="480" w:lineRule="auto"/>
        <w:rPr>
          <w:i/>
        </w:rPr>
      </w:pPr>
      <w:r w:rsidRPr="00B148EF">
        <w:rPr>
          <w:i/>
        </w:rPr>
        <w:t>Results partitioned by</w:t>
      </w:r>
      <w:r>
        <w:rPr>
          <w:i/>
        </w:rPr>
        <w:t xml:space="preserve"> different</w:t>
      </w:r>
      <w:r w:rsidRPr="00B148EF">
        <w:rPr>
          <w:i/>
        </w:rPr>
        <w:t xml:space="preserve"> fitness proxy</w:t>
      </w:r>
    </w:p>
    <w:p w:rsidR="00426B97" w:rsidRDefault="00426B97" w:rsidP="00426B97">
      <w:pPr>
        <w:spacing w:line="480" w:lineRule="auto"/>
      </w:pPr>
      <w:r>
        <w:rPr>
          <w:rFonts w:ascii="Cambria" w:hAnsi="Cambria"/>
        </w:rPr>
        <w:t xml:space="preserve">To </w:t>
      </w:r>
      <w:r>
        <w:t xml:space="preserve">explore the effects of combining different “best fitness” estimates in our analysis, we reran the analyses separately for each type of fitness proxy, using all species for </w:t>
      </w:r>
      <w:r w:rsidR="00922AB1">
        <w:t xml:space="preserve">which that proxy </w:t>
      </w:r>
      <w:r>
        <w:t xml:space="preserve">had been reported. Similar declines in fitness across range limits were observed for these different subsets of species (Table S1).  </w:t>
      </w:r>
    </w:p>
    <w:p w:rsidR="00426B97" w:rsidRPr="009942F2" w:rsidRDefault="00426B97" w:rsidP="00426B97">
      <w:pPr>
        <w:spacing w:line="480" w:lineRule="auto"/>
      </w:pPr>
    </w:p>
    <w:p w:rsidR="00426B97" w:rsidRDefault="00426B97" w:rsidP="00426B97">
      <w:pPr>
        <w:rPr>
          <w:i/>
        </w:rPr>
      </w:pPr>
      <w:r>
        <w:rPr>
          <w:i/>
        </w:rPr>
        <w:t>ENM sensitivity analyses</w:t>
      </w:r>
    </w:p>
    <w:p w:rsidR="00426B97" w:rsidRDefault="00426B97" w:rsidP="00426B97"/>
    <w:p w:rsidR="00426B97" w:rsidRDefault="003D7874" w:rsidP="00426B97">
      <w:pPr>
        <w:spacing w:line="480" w:lineRule="auto"/>
        <w:ind w:firstLine="720"/>
      </w:pPr>
      <w:r>
        <w:t>We examined the effects of many of the</w:t>
      </w:r>
      <w:r w:rsidR="00426B97">
        <w:t xml:space="preserve"> decisions made during ENM calibration on our conclusions by conducting several additional rounds of model calibration followed by re-analysis of results across species. The first of these ENM sensitivity tes</w:t>
      </w:r>
      <w:r w:rsidR="00426B97" w:rsidRPr="00F461E0">
        <w:t xml:space="preserve">ts replaced the more complex hinge features (where used) with linear, product and quadratic features. </w:t>
      </w:r>
      <w:r w:rsidRPr="00F461E0">
        <w:t>A second set of sensitivity tests explored two alternatives to the minimum convex polygon around points for background sampling</w:t>
      </w:r>
      <w:r w:rsidR="00DC0848" w:rsidRPr="00F461E0">
        <w:t xml:space="preserve"> for each species</w:t>
      </w:r>
      <w:r w:rsidRPr="00F461E0">
        <w:t xml:space="preserve">: a background area defined by </w:t>
      </w:r>
      <w:r w:rsidR="00311983" w:rsidRPr="00F461E0">
        <w:t xml:space="preserve">the </w:t>
      </w:r>
      <w:r w:rsidRPr="00F461E0">
        <w:t xml:space="preserve">rectangular </w:t>
      </w:r>
      <w:r w:rsidR="00311983" w:rsidRPr="00F461E0">
        <w:t xml:space="preserve">extent encompassing all of the species’ localities plus an additional 200 km in each cardinal direction (equivalent to defining an arbitrary study region) </w:t>
      </w:r>
      <w:r w:rsidRPr="00F461E0">
        <w:t>and a background area defined by buffering the localities by ~300 km</w:t>
      </w:r>
      <w:r w:rsidR="00311983" w:rsidRPr="00F461E0">
        <w:t xml:space="preserve"> (which avoids some problems inherent to MCP for species who ranges are not well described by a simple convex shape; Fig. S3-1)</w:t>
      </w:r>
      <w:r w:rsidRPr="00F461E0">
        <w:t xml:space="preserve">. </w:t>
      </w:r>
      <w:r w:rsidR="00426B97" w:rsidRPr="00F461E0">
        <w:t xml:space="preserve">Finally, we generated a relatively unrestricted set of models based on all 19 </w:t>
      </w:r>
      <w:proofErr w:type="spellStart"/>
      <w:r w:rsidR="00426B97" w:rsidRPr="00F461E0">
        <w:rPr>
          <w:smallCaps/>
        </w:rPr>
        <w:t>bioclim</w:t>
      </w:r>
      <w:proofErr w:type="spellEnd"/>
      <w:r w:rsidR="00426B97" w:rsidRPr="00F461E0">
        <w:t xml:space="preserve"> variables and all feature</w:t>
      </w:r>
      <w:r w:rsidR="00426B97">
        <w:t xml:space="preserve"> types (i.e. allowing </w:t>
      </w:r>
      <w:r w:rsidR="00426B97" w:rsidRPr="0007364B">
        <w:rPr>
          <w:smallCaps/>
        </w:rPr>
        <w:t>Maxent</w:t>
      </w:r>
      <w:r w:rsidR="00426B97">
        <w:t xml:space="preserve"> to do its own variable selection: </w:t>
      </w:r>
      <w:r w:rsidR="00F714DC">
        <w:fldChar w:fldCharType="begin"/>
      </w:r>
      <w:r w:rsidR="00426B97">
        <w:instrText>ADDIN CSL_CITATION {"mendeley": {"previouslyFormattedCitation": "(Elith &lt;i&gt;et al.&lt;/i&gt; 2011)", "manualFormatting": "Elith et al., 2011)"}, "citationItems": [{"uris": ["http://www.mendeley.com/documents/?uuid=6c37fcde-b2c0-48c9-aed3-b47e2380a443"], "id": "ITEM-1", "itemData": {"DOI": "10.1111/j.1472-4642.2010.00725.x", "author": [{"given": "Jane", "dropping-particle": "", "suffix": "", "family": "Elith", "parse-names": false, "non-dropping-particle": ""}, {"given": "SJ", "dropping-particle": "", "suffix": "", "family": "Phillips", "parse-names": false, "non-dropping-particle": ""}, {"given": "Trevor", "dropping-particle": "", "suffix": "", "family": "Hastie", "parse-names": false, "non-dropping-particle": ""}], "issued": {"date-parts": [["2011", "1", "25"]]}, "ISSN": "13669516", "page": "43-57", "volume": "17", "container-title": "Diversity and Distributions", "title": "A statistical explanation of MaxEnt for ecologists", "type": "article-journal", "id": "ITEM-1"}}], "properties": {"noteIndex": 0}, "schema": "https://github.com/citation-style-language/schema/raw/master/csl-citation.json"}</w:instrText>
      </w:r>
      <w:r w:rsidR="00F714DC">
        <w:fldChar w:fldCharType="separate"/>
      </w:r>
      <w:r w:rsidR="00426B97" w:rsidRPr="00035779">
        <w:rPr>
          <w:noProof/>
        </w:rPr>
        <w:t>Elith et al., 2011)</w:t>
      </w:r>
      <w:r w:rsidR="00F714DC">
        <w:fldChar w:fldCharType="end"/>
      </w:r>
      <w:r w:rsidR="00426B97">
        <w:t xml:space="preserve"> while allowing background sampling to come from a 200 km</w:t>
      </w:r>
      <w:r w:rsidR="00426B97" w:rsidRPr="008C37ED">
        <w:rPr>
          <w:vertAlign w:val="superscript"/>
        </w:rPr>
        <w:t>2</w:t>
      </w:r>
      <w:r w:rsidR="00426B97">
        <w:t xml:space="preserve"> rectangular area around each species’ range</w:t>
      </w:r>
      <w:r w:rsidR="004976E2">
        <w:t xml:space="preserve"> (this latter configuration most closely represents a decision-free </w:t>
      </w:r>
      <w:r w:rsidR="004976E2">
        <w:lastRenderedPageBreak/>
        <w:t xml:space="preserve">approach to using </w:t>
      </w:r>
      <w:r w:rsidR="004976E2" w:rsidRPr="0007364B">
        <w:rPr>
          <w:smallCaps/>
        </w:rPr>
        <w:t>Maxent</w:t>
      </w:r>
      <w:r w:rsidR="004976E2">
        <w:t xml:space="preserve"> and is consistent with the setup of many of the earliest studies using the software)</w:t>
      </w:r>
      <w:r w:rsidR="00426B97">
        <w:t xml:space="preserve">. </w:t>
      </w:r>
      <w:r w:rsidR="00426B97" w:rsidRPr="008E4A03">
        <w:t>Most analyses were robust to the different calibration strategies (Tables S2-S3</w:t>
      </w:r>
      <w:r w:rsidR="00426B97" w:rsidRPr="00F461E0">
        <w:t xml:space="preserve">). However, the statistical significance of the tests of concordance when </w:t>
      </w:r>
      <w:r w:rsidR="001C0F87" w:rsidRPr="00F461E0">
        <w:t>vertical</w:t>
      </w:r>
      <w:r w:rsidR="00426B97" w:rsidRPr="00F461E0">
        <w:t xml:space="preserve"> limits were treated separately</w:t>
      </w:r>
      <w:r w:rsidR="00426B97" w:rsidRPr="008E4A03">
        <w:t xml:space="preserve"> </w:t>
      </w:r>
      <w:r w:rsidR="008E4A03" w:rsidRPr="008E4A03">
        <w:t>varied across runs</w:t>
      </w:r>
      <w:r w:rsidR="00E2551A" w:rsidRPr="008E4A03">
        <w:t xml:space="preserve"> </w:t>
      </w:r>
      <w:r w:rsidR="00426B97" w:rsidRPr="008E4A03">
        <w:t>(Table S3).</w:t>
      </w:r>
    </w:p>
    <w:p w:rsidR="00426B97" w:rsidRDefault="00426B97" w:rsidP="00426B97">
      <w:pPr>
        <w:tabs>
          <w:tab w:val="left" w:pos="8080"/>
        </w:tabs>
        <w:rPr>
          <w:rFonts w:ascii="Times New Roman" w:hAnsi="Times New Roman"/>
        </w:rPr>
      </w:pPr>
    </w:p>
    <w:p w:rsidR="00426B97" w:rsidRDefault="00426B97" w:rsidP="00426B97">
      <w:pPr>
        <w:tabs>
          <w:tab w:val="left" w:pos="8080"/>
        </w:tabs>
        <w:rPr>
          <w:rFonts w:ascii="Times New Roman" w:hAnsi="Times New Roman"/>
        </w:rPr>
      </w:pPr>
      <w:r>
        <w:rPr>
          <w:rFonts w:ascii="Times New Roman" w:hAnsi="Times New Roman"/>
        </w:rPr>
        <w:br w:type="page"/>
      </w:r>
    </w:p>
    <w:p w:rsidR="00426B97" w:rsidRDefault="00426B97" w:rsidP="00426B97">
      <w:pPr>
        <w:rPr>
          <w:rFonts w:ascii="Times New Roman" w:hAnsi="Times New Roman"/>
        </w:rPr>
      </w:pPr>
      <w:r>
        <w:rPr>
          <w:rFonts w:ascii="Times New Roman" w:hAnsi="Times New Roman"/>
        </w:rPr>
        <w:t>T</w:t>
      </w:r>
      <w:r w:rsidRPr="000C1D0B">
        <w:rPr>
          <w:rFonts w:ascii="Times New Roman" w:hAnsi="Times New Roman"/>
        </w:rPr>
        <w:t>able S</w:t>
      </w:r>
      <w:r w:rsidR="00FE7F7A">
        <w:rPr>
          <w:rFonts w:ascii="Times New Roman" w:hAnsi="Times New Roman"/>
        </w:rPr>
        <w:t>3-</w:t>
      </w:r>
      <w:r>
        <w:rPr>
          <w:rFonts w:ascii="Times New Roman" w:hAnsi="Times New Roman"/>
        </w:rPr>
        <w:t>1</w:t>
      </w:r>
      <w:r w:rsidRPr="000C1D0B">
        <w:rPr>
          <w:rFonts w:ascii="Times New Roman" w:hAnsi="Times New Roman"/>
        </w:rPr>
        <w:t>. Differences in</w:t>
      </w:r>
      <w:r>
        <w:rPr>
          <w:rFonts w:ascii="Times New Roman" w:hAnsi="Times New Roman"/>
        </w:rPr>
        <w:t xml:space="preserve"> the</w:t>
      </w:r>
      <w:r w:rsidRPr="000C1D0B">
        <w:rPr>
          <w:rFonts w:ascii="Times New Roman" w:hAnsi="Times New Roman"/>
        </w:rPr>
        <w:t xml:space="preserve"> fitness</w:t>
      </w:r>
      <w:r>
        <w:rPr>
          <w:rFonts w:ascii="Times New Roman" w:hAnsi="Times New Roman"/>
        </w:rPr>
        <w:t xml:space="preserve"> of transplanted individuals</w:t>
      </w:r>
      <w:r w:rsidRPr="000C1D0B">
        <w:rPr>
          <w:rFonts w:ascii="Times New Roman" w:hAnsi="Times New Roman"/>
        </w:rPr>
        <w:t xml:space="preserve"> across range limits</w:t>
      </w:r>
      <w:r>
        <w:rPr>
          <w:rFonts w:ascii="Times New Roman" w:hAnsi="Times New Roman"/>
        </w:rPr>
        <w:t xml:space="preserve"> when different fitness components are analyzed separately</w:t>
      </w:r>
      <w:r w:rsidRPr="000C1D0B">
        <w:rPr>
          <w:rFonts w:ascii="Times New Roman" w:hAnsi="Times New Roman"/>
        </w:rPr>
        <w:t xml:space="preserve">. </w:t>
      </w:r>
      <w:r>
        <w:rPr>
          <w:rFonts w:ascii="Times New Roman" w:hAnsi="Times New Roman"/>
        </w:rPr>
        <w:t>Comparisons between the full and reduced model (i.e. without site type) were based on likelihood ratio tests (LRT).</w:t>
      </w:r>
      <w:r w:rsidRPr="000C1D0B">
        <w:rPr>
          <w:rFonts w:ascii="Times New Roman" w:hAnsi="Times New Roman"/>
        </w:rPr>
        <w:t xml:space="preserve"> Significant values (p&lt;0.05) are in bold. </w:t>
      </w:r>
    </w:p>
    <w:p w:rsidR="008E4A03" w:rsidRDefault="008E4A03" w:rsidP="00426B97">
      <w:pPr>
        <w:rPr>
          <w:rFonts w:ascii="Times New Roman" w:hAnsi="Times New Roman"/>
        </w:rPr>
      </w:pPr>
    </w:p>
    <w:p w:rsidR="008E4A03" w:rsidRPr="000C1D0B" w:rsidRDefault="008E4A03" w:rsidP="008E4A03">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526"/>
        <w:gridCol w:w="2835"/>
        <w:gridCol w:w="2410"/>
        <w:gridCol w:w="1701"/>
        <w:gridCol w:w="1134"/>
      </w:tblGrid>
      <w:tr w:rsidR="008E4A03" w:rsidRPr="000B46C1">
        <w:trPr>
          <w:trHeight w:val="594"/>
        </w:trPr>
        <w:tc>
          <w:tcPr>
            <w:tcW w:w="1526" w:type="dxa"/>
            <w:tcBorders>
              <w:top w:val="single" w:sz="4" w:space="0" w:color="000000" w:themeColor="text1"/>
              <w:bottom w:val="single" w:sz="4" w:space="0" w:color="000000" w:themeColor="text1"/>
            </w:tcBorders>
          </w:tcPr>
          <w:p w:rsidR="008E4A03" w:rsidRPr="000B46C1" w:rsidRDefault="008E4A03">
            <w:pPr>
              <w:rPr>
                <w:rFonts w:ascii="Times New Roman" w:hAnsi="Times New Roman"/>
              </w:rPr>
            </w:pPr>
            <w:r w:rsidRPr="000B46C1">
              <w:rPr>
                <w:rFonts w:ascii="Times New Roman" w:hAnsi="Times New Roman"/>
              </w:rPr>
              <w:t>Analysis</w:t>
            </w:r>
          </w:p>
        </w:tc>
        <w:tc>
          <w:tcPr>
            <w:tcW w:w="2835" w:type="dxa"/>
            <w:tcBorders>
              <w:top w:val="single" w:sz="4" w:space="0" w:color="000000" w:themeColor="text1"/>
              <w:bottom w:val="single" w:sz="4" w:space="0" w:color="000000" w:themeColor="text1"/>
            </w:tcBorders>
          </w:tcPr>
          <w:p w:rsidR="008E4A03" w:rsidRPr="000B46C1" w:rsidRDefault="008E4A03" w:rsidP="00F400BD">
            <w:pPr>
              <w:rPr>
                <w:rFonts w:ascii="Times New Roman" w:hAnsi="Times New Roman"/>
              </w:rPr>
            </w:pPr>
            <w:r w:rsidRPr="000B46C1">
              <w:rPr>
                <w:rFonts w:ascii="Times New Roman" w:hAnsi="Times New Roman"/>
              </w:rPr>
              <w:t>Fitness estimate (</w:t>
            </w:r>
            <w:r>
              <w:rPr>
                <w:rFonts w:ascii="Times New Roman" w:hAnsi="Times New Roman"/>
              </w:rPr>
              <w:t>number of species</w:t>
            </w:r>
            <w:r w:rsidRPr="000B46C1">
              <w:rPr>
                <w:rFonts w:ascii="Times New Roman" w:hAnsi="Times New Roman"/>
              </w:rPr>
              <w:t>)</w:t>
            </w:r>
          </w:p>
        </w:tc>
        <w:tc>
          <w:tcPr>
            <w:tcW w:w="2410" w:type="dxa"/>
            <w:tcBorders>
              <w:top w:val="single" w:sz="4" w:space="0" w:color="000000" w:themeColor="text1"/>
              <w:bottom w:val="single" w:sz="4" w:space="0" w:color="000000" w:themeColor="text1"/>
            </w:tcBorders>
          </w:tcPr>
          <w:p w:rsidR="008E4A03" w:rsidRPr="000B46C1" w:rsidRDefault="008E4A03">
            <w:pPr>
              <w:rPr>
                <w:rFonts w:ascii="Times New Roman" w:hAnsi="Times New Roman"/>
              </w:rPr>
            </w:pPr>
            <w:r w:rsidRPr="000B46C1">
              <w:rPr>
                <w:rFonts w:ascii="Times New Roman" w:hAnsi="Times New Roman"/>
              </w:rPr>
              <w:t>Mean coefficient (SE)</w:t>
            </w:r>
          </w:p>
        </w:tc>
        <w:tc>
          <w:tcPr>
            <w:tcW w:w="1701" w:type="dxa"/>
            <w:tcBorders>
              <w:top w:val="single" w:sz="4" w:space="0" w:color="000000" w:themeColor="text1"/>
              <w:bottom w:val="single" w:sz="4" w:space="0" w:color="000000" w:themeColor="text1"/>
            </w:tcBorders>
          </w:tcPr>
          <w:p w:rsidR="008E4A03" w:rsidRPr="000B46C1" w:rsidRDefault="008E4A03">
            <w:pPr>
              <w:rPr>
                <w:rFonts w:ascii="Times New Roman" w:hAnsi="Times New Roman"/>
              </w:rPr>
            </w:pPr>
            <w:r w:rsidRPr="000B46C1">
              <w:rPr>
                <w:rFonts w:ascii="Times New Roman" w:hAnsi="Times New Roman"/>
              </w:rPr>
              <w:t>LRT</w:t>
            </w:r>
          </w:p>
        </w:tc>
        <w:tc>
          <w:tcPr>
            <w:tcW w:w="1134" w:type="dxa"/>
            <w:tcBorders>
              <w:top w:val="single" w:sz="4" w:space="0" w:color="000000" w:themeColor="text1"/>
              <w:bottom w:val="single" w:sz="4" w:space="0" w:color="000000" w:themeColor="text1"/>
            </w:tcBorders>
          </w:tcPr>
          <w:p w:rsidR="008E4A03" w:rsidRPr="000B46C1" w:rsidRDefault="008E4A03">
            <w:pPr>
              <w:rPr>
                <w:rFonts w:ascii="Times New Roman" w:hAnsi="Times New Roman"/>
              </w:rPr>
            </w:pPr>
            <w:r w:rsidRPr="000B46C1">
              <w:rPr>
                <w:rFonts w:ascii="Times New Roman" w:hAnsi="Times New Roman"/>
              </w:rPr>
              <w:t>P value</w:t>
            </w:r>
          </w:p>
        </w:tc>
      </w:tr>
      <w:tr w:rsidR="00686E63" w:rsidRPr="000B46C1">
        <w:tc>
          <w:tcPr>
            <w:tcW w:w="1526" w:type="dxa"/>
            <w:vMerge w:val="restart"/>
            <w:tcBorders>
              <w:top w:val="single" w:sz="4" w:space="0" w:color="000000" w:themeColor="text1"/>
              <w:bottom w:val="single" w:sz="4" w:space="0" w:color="000000" w:themeColor="text1"/>
            </w:tcBorders>
          </w:tcPr>
          <w:p w:rsidR="00686E63" w:rsidRPr="000B46C1" w:rsidRDefault="00686E63" w:rsidP="00686E63">
            <w:pPr>
              <w:rPr>
                <w:rFonts w:ascii="Times New Roman" w:hAnsi="Times New Roman"/>
              </w:rPr>
            </w:pPr>
            <w:r>
              <w:rPr>
                <w:rFonts w:ascii="Times New Roman" w:hAnsi="Times New Roman"/>
              </w:rPr>
              <w:t>Combined</w:t>
            </w:r>
          </w:p>
          <w:p w:rsidR="00686E63" w:rsidRPr="00D47DF8" w:rsidRDefault="00686E63" w:rsidP="000433BE">
            <w:pPr>
              <w:ind w:right="-250"/>
              <w:rPr>
                <w:rFonts w:ascii="Times New Roman" w:hAnsi="Times New Roman"/>
              </w:rPr>
            </w:pPr>
          </w:p>
        </w:tc>
        <w:tc>
          <w:tcPr>
            <w:tcW w:w="2835" w:type="dxa"/>
            <w:tcBorders>
              <w:top w:val="single" w:sz="4" w:space="0" w:color="000000" w:themeColor="text1"/>
            </w:tcBorders>
          </w:tcPr>
          <w:p w:rsidR="00686E63" w:rsidRPr="0004360F" w:rsidRDefault="00686E63" w:rsidP="00F400BD">
            <w:pPr>
              <w:rPr>
                <w:rFonts w:ascii="Times New Roman" w:hAnsi="Times New Roman"/>
              </w:rPr>
            </w:pPr>
            <w:r>
              <w:rPr>
                <w:rFonts w:ascii="Times New Roman" w:hAnsi="Times New Roman"/>
              </w:rPr>
              <w:t>Survival (n=37</w:t>
            </w:r>
            <w:r w:rsidRPr="0004360F">
              <w:rPr>
                <w:rFonts w:ascii="Times New Roman" w:hAnsi="Times New Roman"/>
              </w:rPr>
              <w:t>)</w:t>
            </w:r>
          </w:p>
        </w:tc>
        <w:tc>
          <w:tcPr>
            <w:tcW w:w="2410" w:type="dxa"/>
            <w:tcBorders>
              <w:top w:val="single" w:sz="4" w:space="0" w:color="000000" w:themeColor="text1"/>
            </w:tcBorders>
          </w:tcPr>
          <w:p w:rsidR="00686E63" w:rsidRPr="00BF6F30" w:rsidRDefault="00686E63" w:rsidP="00F400BD">
            <w:pPr>
              <w:rPr>
                <w:rFonts w:ascii="Times New Roman" w:hAnsi="Times New Roman"/>
              </w:rPr>
            </w:pPr>
            <w:r>
              <w:rPr>
                <w:rFonts w:ascii="Times New Roman" w:hAnsi="Times New Roman"/>
              </w:rPr>
              <w:t>-0.32 (0.054)</w:t>
            </w:r>
          </w:p>
        </w:tc>
        <w:tc>
          <w:tcPr>
            <w:tcW w:w="1701" w:type="dxa"/>
            <w:tcBorders>
              <w:top w:val="single" w:sz="4" w:space="0" w:color="000000" w:themeColor="text1"/>
            </w:tcBorders>
          </w:tcPr>
          <w:p w:rsidR="00686E63" w:rsidRPr="00BF6F30" w:rsidRDefault="00686E63" w:rsidP="00F400BD">
            <w:pPr>
              <w:rPr>
                <w:rFonts w:ascii="Times New Roman" w:hAnsi="Times New Roman"/>
              </w:rPr>
            </w:pPr>
            <w:r>
              <w:rPr>
                <w:rFonts w:ascii="Times New Roman" w:hAnsi="Times New Roman"/>
              </w:rPr>
              <w:t>LRT</w:t>
            </w:r>
            <w:r>
              <w:rPr>
                <w:rFonts w:ascii="Times New Roman" w:hAnsi="Times New Roman"/>
                <w:vertAlign w:val="subscript"/>
              </w:rPr>
              <w:t>5,4</w:t>
            </w:r>
            <w:r>
              <w:rPr>
                <w:rFonts w:ascii="Times New Roman" w:hAnsi="Times New Roman"/>
              </w:rPr>
              <w:t>=32.25</w:t>
            </w:r>
          </w:p>
        </w:tc>
        <w:tc>
          <w:tcPr>
            <w:tcW w:w="1134" w:type="dxa"/>
            <w:tcBorders>
              <w:top w:val="single" w:sz="4" w:space="0" w:color="000000" w:themeColor="text1"/>
            </w:tcBorders>
          </w:tcPr>
          <w:p w:rsidR="00686E63" w:rsidRPr="00BF6F30" w:rsidRDefault="00686E63" w:rsidP="00F400BD">
            <w:pPr>
              <w:rPr>
                <w:rFonts w:ascii="Times New Roman" w:hAnsi="Times New Roman"/>
                <w:b/>
              </w:rPr>
            </w:pPr>
            <w:r>
              <w:rPr>
                <w:rFonts w:ascii="Times New Roman" w:hAnsi="Times New Roman"/>
                <w:b/>
              </w:rPr>
              <w:t>&lt;0.0001</w:t>
            </w:r>
          </w:p>
        </w:tc>
      </w:tr>
      <w:tr w:rsidR="00686E63" w:rsidRPr="000B46C1">
        <w:tc>
          <w:tcPr>
            <w:tcW w:w="1526" w:type="dxa"/>
            <w:vMerge/>
            <w:tcBorders>
              <w:bottom w:val="single" w:sz="4" w:space="0" w:color="000000" w:themeColor="text1"/>
            </w:tcBorders>
          </w:tcPr>
          <w:p w:rsidR="00686E63" w:rsidRPr="00D47DF8" w:rsidRDefault="00686E63">
            <w:pPr>
              <w:rPr>
                <w:rFonts w:ascii="Times New Roman" w:hAnsi="Times New Roman"/>
              </w:rPr>
            </w:pPr>
          </w:p>
        </w:tc>
        <w:tc>
          <w:tcPr>
            <w:tcW w:w="2835" w:type="dxa"/>
          </w:tcPr>
          <w:p w:rsidR="00686E63" w:rsidRPr="0004360F" w:rsidRDefault="00686E63" w:rsidP="00F400BD">
            <w:pPr>
              <w:rPr>
                <w:rFonts w:ascii="Times New Roman" w:hAnsi="Times New Roman"/>
              </w:rPr>
            </w:pPr>
            <w:r>
              <w:rPr>
                <w:rFonts w:ascii="Times New Roman" w:hAnsi="Times New Roman"/>
              </w:rPr>
              <w:t>Growth (n=16</w:t>
            </w:r>
            <w:r w:rsidRPr="0004360F">
              <w:rPr>
                <w:rFonts w:ascii="Times New Roman" w:hAnsi="Times New Roman"/>
              </w:rPr>
              <w:t>)</w:t>
            </w:r>
          </w:p>
        </w:tc>
        <w:tc>
          <w:tcPr>
            <w:tcW w:w="2410" w:type="dxa"/>
          </w:tcPr>
          <w:p w:rsidR="00686E63" w:rsidRPr="00BF6F30" w:rsidRDefault="00686E63" w:rsidP="00F400BD">
            <w:pPr>
              <w:rPr>
                <w:rFonts w:ascii="Times New Roman" w:hAnsi="Times New Roman"/>
              </w:rPr>
            </w:pPr>
            <w:r>
              <w:rPr>
                <w:rFonts w:ascii="Times New Roman" w:hAnsi="Times New Roman"/>
              </w:rPr>
              <w:t>-0.26(0.061)</w:t>
            </w:r>
          </w:p>
        </w:tc>
        <w:tc>
          <w:tcPr>
            <w:tcW w:w="1701" w:type="dxa"/>
          </w:tcPr>
          <w:p w:rsidR="00686E63" w:rsidRPr="00BF6F30" w:rsidRDefault="00686E63" w:rsidP="00F400BD">
            <w:pPr>
              <w:rPr>
                <w:rFonts w:ascii="Times New Roman" w:hAnsi="Times New Roman"/>
              </w:rPr>
            </w:pPr>
            <w:r>
              <w:rPr>
                <w:rFonts w:ascii="Times New Roman" w:hAnsi="Times New Roman"/>
              </w:rPr>
              <w:t>LRT</w:t>
            </w:r>
            <w:r>
              <w:rPr>
                <w:rFonts w:ascii="Times New Roman" w:hAnsi="Times New Roman"/>
                <w:vertAlign w:val="subscript"/>
              </w:rPr>
              <w:t>5,4</w:t>
            </w:r>
            <w:r>
              <w:rPr>
                <w:rFonts w:ascii="Times New Roman" w:hAnsi="Times New Roman"/>
              </w:rPr>
              <w:t>=16.17</w:t>
            </w:r>
          </w:p>
        </w:tc>
        <w:tc>
          <w:tcPr>
            <w:tcW w:w="1134" w:type="dxa"/>
          </w:tcPr>
          <w:p w:rsidR="00686E63" w:rsidRPr="00BF6F30" w:rsidRDefault="00686E63" w:rsidP="00F400BD">
            <w:pPr>
              <w:rPr>
                <w:rFonts w:ascii="Times New Roman" w:hAnsi="Times New Roman"/>
              </w:rPr>
            </w:pPr>
            <w:r>
              <w:rPr>
                <w:rFonts w:ascii="Times New Roman" w:hAnsi="Times New Roman"/>
                <w:b/>
              </w:rPr>
              <w:t>&lt;0.0001</w:t>
            </w:r>
          </w:p>
        </w:tc>
      </w:tr>
      <w:tr w:rsidR="00686E63" w:rsidRPr="000B46C1">
        <w:tc>
          <w:tcPr>
            <w:tcW w:w="1526" w:type="dxa"/>
            <w:vMerge/>
            <w:tcBorders>
              <w:bottom w:val="single" w:sz="4" w:space="0" w:color="000000" w:themeColor="text1"/>
            </w:tcBorders>
          </w:tcPr>
          <w:p w:rsidR="00686E63" w:rsidRPr="00D47DF8" w:rsidRDefault="00686E63">
            <w:pPr>
              <w:rPr>
                <w:rFonts w:ascii="Times New Roman" w:hAnsi="Times New Roman"/>
              </w:rPr>
            </w:pPr>
          </w:p>
        </w:tc>
        <w:tc>
          <w:tcPr>
            <w:tcW w:w="2835" w:type="dxa"/>
          </w:tcPr>
          <w:p w:rsidR="00686E63" w:rsidRPr="0004360F" w:rsidRDefault="00686E63" w:rsidP="00F400BD">
            <w:pPr>
              <w:rPr>
                <w:rFonts w:ascii="Times New Roman" w:hAnsi="Times New Roman"/>
              </w:rPr>
            </w:pPr>
            <w:r>
              <w:rPr>
                <w:rFonts w:ascii="Times New Roman" w:hAnsi="Times New Roman"/>
              </w:rPr>
              <w:t>Reproduction (n=8)</w:t>
            </w:r>
          </w:p>
        </w:tc>
        <w:tc>
          <w:tcPr>
            <w:tcW w:w="2410" w:type="dxa"/>
          </w:tcPr>
          <w:p w:rsidR="00686E63" w:rsidRPr="00BF6F30" w:rsidRDefault="00686E63" w:rsidP="00F400BD">
            <w:pPr>
              <w:rPr>
                <w:rFonts w:ascii="Times New Roman" w:hAnsi="Times New Roman"/>
              </w:rPr>
            </w:pPr>
            <w:r>
              <w:rPr>
                <w:rFonts w:ascii="Times New Roman" w:hAnsi="Times New Roman"/>
              </w:rPr>
              <w:t>-0.31 (0.14)</w:t>
            </w:r>
          </w:p>
        </w:tc>
        <w:tc>
          <w:tcPr>
            <w:tcW w:w="1701" w:type="dxa"/>
          </w:tcPr>
          <w:p w:rsidR="00686E63" w:rsidRPr="00BF6F30" w:rsidRDefault="00686E63" w:rsidP="00F400BD">
            <w:pPr>
              <w:rPr>
                <w:rFonts w:ascii="Times New Roman" w:hAnsi="Times New Roman"/>
              </w:rPr>
            </w:pPr>
            <w:r>
              <w:rPr>
                <w:rFonts w:ascii="Times New Roman" w:hAnsi="Times New Roman"/>
              </w:rPr>
              <w:t>LRT</w:t>
            </w:r>
            <w:r>
              <w:rPr>
                <w:rFonts w:ascii="Times New Roman" w:hAnsi="Times New Roman"/>
                <w:vertAlign w:val="subscript"/>
              </w:rPr>
              <w:t>5,4</w:t>
            </w:r>
            <w:r>
              <w:rPr>
                <w:rFonts w:ascii="Times New Roman" w:hAnsi="Times New Roman"/>
              </w:rPr>
              <w:t>=4.57</w:t>
            </w:r>
          </w:p>
        </w:tc>
        <w:tc>
          <w:tcPr>
            <w:tcW w:w="1134" w:type="dxa"/>
          </w:tcPr>
          <w:p w:rsidR="00686E63" w:rsidRPr="00BF6F30" w:rsidRDefault="00686E63" w:rsidP="00F400BD">
            <w:pPr>
              <w:rPr>
                <w:rFonts w:ascii="Times New Roman" w:hAnsi="Times New Roman"/>
                <w:b/>
              </w:rPr>
            </w:pPr>
            <w:r>
              <w:rPr>
                <w:rFonts w:ascii="Times New Roman" w:hAnsi="Times New Roman"/>
                <w:b/>
              </w:rPr>
              <w:t>0.033</w:t>
            </w:r>
          </w:p>
        </w:tc>
      </w:tr>
      <w:tr w:rsidR="00686E63" w:rsidRPr="000B46C1">
        <w:tc>
          <w:tcPr>
            <w:tcW w:w="1526" w:type="dxa"/>
            <w:vMerge/>
            <w:tcBorders>
              <w:bottom w:val="single" w:sz="4" w:space="0" w:color="000000" w:themeColor="text1"/>
            </w:tcBorders>
          </w:tcPr>
          <w:p w:rsidR="00686E63" w:rsidRPr="00D47DF8" w:rsidRDefault="00686E63">
            <w:pPr>
              <w:rPr>
                <w:rFonts w:ascii="Times New Roman" w:hAnsi="Times New Roman"/>
              </w:rPr>
            </w:pPr>
          </w:p>
        </w:tc>
        <w:tc>
          <w:tcPr>
            <w:tcW w:w="2835" w:type="dxa"/>
          </w:tcPr>
          <w:p w:rsidR="00686E63" w:rsidRPr="0004360F" w:rsidRDefault="00686E63" w:rsidP="00F400BD">
            <w:pPr>
              <w:rPr>
                <w:rFonts w:ascii="Times New Roman" w:hAnsi="Times New Roman"/>
              </w:rPr>
            </w:pPr>
            <w:r>
              <w:rPr>
                <w:rFonts w:ascii="Times New Roman" w:hAnsi="Times New Roman"/>
              </w:rPr>
              <w:t>Fitness (n=</w:t>
            </w:r>
            <w:proofErr w:type="gramStart"/>
            <w:r>
              <w:rPr>
                <w:rFonts w:ascii="Times New Roman" w:hAnsi="Times New Roman"/>
              </w:rPr>
              <w:t>21)</w:t>
            </w:r>
            <w:r>
              <w:rPr>
                <w:rFonts w:ascii="Times New Roman" w:hAnsi="Times New Roman"/>
                <w:vertAlign w:val="superscript"/>
              </w:rPr>
              <w:t>*</w:t>
            </w:r>
            <w:proofErr w:type="gramEnd"/>
          </w:p>
        </w:tc>
        <w:tc>
          <w:tcPr>
            <w:tcW w:w="2410" w:type="dxa"/>
          </w:tcPr>
          <w:p w:rsidR="00686E63" w:rsidRPr="00BF6F30" w:rsidRDefault="00686E63" w:rsidP="00F400BD">
            <w:pPr>
              <w:rPr>
                <w:rFonts w:ascii="Times New Roman" w:hAnsi="Times New Roman"/>
              </w:rPr>
            </w:pPr>
            <w:r>
              <w:rPr>
                <w:rFonts w:ascii="Times New Roman" w:hAnsi="Times New Roman"/>
              </w:rPr>
              <w:t>-0.50 (0.10)</w:t>
            </w:r>
          </w:p>
        </w:tc>
        <w:tc>
          <w:tcPr>
            <w:tcW w:w="1701" w:type="dxa"/>
          </w:tcPr>
          <w:p w:rsidR="00686E63" w:rsidRPr="00BF6F30" w:rsidRDefault="00686E63" w:rsidP="00F400BD">
            <w:pPr>
              <w:rPr>
                <w:rFonts w:ascii="Times New Roman" w:hAnsi="Times New Roman"/>
              </w:rPr>
            </w:pPr>
            <w:r>
              <w:rPr>
                <w:rFonts w:ascii="Times New Roman" w:hAnsi="Times New Roman"/>
              </w:rPr>
              <w:t>LRT</w:t>
            </w:r>
            <w:r>
              <w:rPr>
                <w:rFonts w:ascii="Times New Roman" w:hAnsi="Times New Roman"/>
                <w:vertAlign w:val="subscript"/>
              </w:rPr>
              <w:t>6,5</w:t>
            </w:r>
            <w:r>
              <w:rPr>
                <w:rFonts w:ascii="Times New Roman" w:hAnsi="Times New Roman"/>
              </w:rPr>
              <w:t>=22.47</w:t>
            </w:r>
          </w:p>
        </w:tc>
        <w:tc>
          <w:tcPr>
            <w:tcW w:w="1134" w:type="dxa"/>
          </w:tcPr>
          <w:p w:rsidR="00686E63" w:rsidRPr="00BF6F30" w:rsidRDefault="00686E63" w:rsidP="00F400BD">
            <w:pPr>
              <w:rPr>
                <w:rFonts w:ascii="Times New Roman" w:hAnsi="Times New Roman"/>
                <w:b/>
              </w:rPr>
            </w:pPr>
            <w:r>
              <w:rPr>
                <w:rFonts w:ascii="Times New Roman" w:hAnsi="Times New Roman"/>
                <w:b/>
              </w:rPr>
              <w:t>&lt;0.0001</w:t>
            </w:r>
          </w:p>
        </w:tc>
      </w:tr>
      <w:tr w:rsidR="00686E63" w:rsidRPr="000B46C1">
        <w:tc>
          <w:tcPr>
            <w:tcW w:w="1526" w:type="dxa"/>
            <w:vMerge/>
          </w:tcPr>
          <w:p w:rsidR="00686E63" w:rsidRPr="00D47DF8" w:rsidRDefault="00686E63">
            <w:pPr>
              <w:rPr>
                <w:rFonts w:ascii="Times New Roman" w:hAnsi="Times New Roman"/>
              </w:rPr>
            </w:pPr>
          </w:p>
        </w:tc>
        <w:tc>
          <w:tcPr>
            <w:tcW w:w="2835" w:type="dxa"/>
          </w:tcPr>
          <w:p w:rsidR="00686E63" w:rsidRPr="0004360F" w:rsidRDefault="00686E63" w:rsidP="00F400BD">
            <w:pPr>
              <w:rPr>
                <w:rFonts w:ascii="Times New Roman" w:hAnsi="Times New Roman"/>
              </w:rPr>
            </w:pPr>
            <w:r>
              <w:rPr>
                <w:rFonts w:ascii="Times New Roman" w:hAnsi="Times New Roman"/>
              </w:rPr>
              <w:t>Best estimate (n=</w:t>
            </w:r>
            <w:proofErr w:type="gramStart"/>
            <w:r>
              <w:rPr>
                <w:rFonts w:ascii="Times New Roman" w:hAnsi="Times New Roman"/>
              </w:rPr>
              <w:t>40</w:t>
            </w:r>
            <w:r w:rsidRPr="0004360F">
              <w:rPr>
                <w:rFonts w:ascii="Times New Roman" w:hAnsi="Times New Roman"/>
              </w:rPr>
              <w:t>)</w:t>
            </w:r>
            <w:r w:rsidRPr="0004360F">
              <w:rPr>
                <w:rFonts w:ascii="Times New Roman" w:hAnsi="Times New Roman"/>
                <w:vertAlign w:val="superscript"/>
              </w:rPr>
              <w:t>†</w:t>
            </w:r>
            <w:proofErr w:type="gramEnd"/>
          </w:p>
        </w:tc>
        <w:tc>
          <w:tcPr>
            <w:tcW w:w="2410" w:type="dxa"/>
          </w:tcPr>
          <w:p w:rsidR="00686E63" w:rsidRPr="00BF6F30" w:rsidRDefault="00686E63" w:rsidP="00F400BD">
            <w:pPr>
              <w:rPr>
                <w:rFonts w:ascii="Times New Roman" w:hAnsi="Times New Roman"/>
              </w:rPr>
            </w:pPr>
            <w:r>
              <w:rPr>
                <w:szCs w:val="22"/>
              </w:rPr>
              <w:t>-0.25 (0.049)</w:t>
            </w:r>
          </w:p>
        </w:tc>
        <w:tc>
          <w:tcPr>
            <w:tcW w:w="1701" w:type="dxa"/>
          </w:tcPr>
          <w:p w:rsidR="00686E63" w:rsidRPr="00BF6F30" w:rsidRDefault="00686E63" w:rsidP="00F400BD">
            <w:pPr>
              <w:rPr>
                <w:rFonts w:ascii="Times New Roman" w:hAnsi="Times New Roman"/>
              </w:rPr>
            </w:pPr>
            <w:r>
              <w:rPr>
                <w:rFonts w:ascii="Times New Roman" w:hAnsi="Times New Roman"/>
              </w:rPr>
              <w:t>LRT</w:t>
            </w:r>
            <w:r>
              <w:rPr>
                <w:rFonts w:ascii="Times New Roman" w:hAnsi="Times New Roman"/>
                <w:vertAlign w:val="subscript"/>
              </w:rPr>
              <w:t>7,6</w:t>
            </w:r>
            <w:r>
              <w:rPr>
                <w:rFonts w:ascii="Times New Roman" w:hAnsi="Times New Roman"/>
              </w:rPr>
              <w:t>=21.03</w:t>
            </w:r>
          </w:p>
        </w:tc>
        <w:tc>
          <w:tcPr>
            <w:tcW w:w="1134" w:type="dxa"/>
          </w:tcPr>
          <w:p w:rsidR="00686E63" w:rsidRPr="00BF6F30" w:rsidRDefault="00686E63" w:rsidP="00F400BD">
            <w:pPr>
              <w:rPr>
                <w:rFonts w:ascii="Times New Roman" w:hAnsi="Times New Roman"/>
                <w:b/>
              </w:rPr>
            </w:pPr>
            <w:r>
              <w:rPr>
                <w:rFonts w:ascii="Times New Roman" w:hAnsi="Times New Roman"/>
                <w:b/>
              </w:rPr>
              <w:t>&lt;0.0001</w:t>
            </w:r>
          </w:p>
        </w:tc>
      </w:tr>
      <w:tr w:rsidR="00686E63" w:rsidRPr="000B46C1">
        <w:tc>
          <w:tcPr>
            <w:tcW w:w="1526" w:type="dxa"/>
            <w:vMerge w:val="restart"/>
          </w:tcPr>
          <w:p w:rsidR="00686E63" w:rsidRPr="00D47DF8" w:rsidRDefault="00686E63" w:rsidP="000433BE">
            <w:pPr>
              <w:ind w:right="-250"/>
              <w:rPr>
                <w:rFonts w:ascii="Times New Roman" w:hAnsi="Times New Roman"/>
              </w:rPr>
            </w:pPr>
            <w:r w:rsidRPr="00D47DF8">
              <w:rPr>
                <w:rFonts w:ascii="Times New Roman" w:hAnsi="Times New Roman"/>
              </w:rPr>
              <w:t>Horizontal</w:t>
            </w:r>
          </w:p>
        </w:tc>
        <w:tc>
          <w:tcPr>
            <w:tcW w:w="2835" w:type="dxa"/>
          </w:tcPr>
          <w:p w:rsidR="00686E63" w:rsidRPr="0004360F" w:rsidRDefault="00686E63" w:rsidP="00F400BD">
            <w:pPr>
              <w:rPr>
                <w:rFonts w:ascii="Times New Roman" w:hAnsi="Times New Roman"/>
              </w:rPr>
            </w:pPr>
            <w:r>
              <w:rPr>
                <w:rFonts w:ascii="Times New Roman" w:hAnsi="Times New Roman"/>
              </w:rPr>
              <w:t>Survival (n=23</w:t>
            </w:r>
            <w:r w:rsidRPr="0004360F">
              <w:rPr>
                <w:rFonts w:ascii="Times New Roman" w:hAnsi="Times New Roman"/>
              </w:rPr>
              <w:t>)</w:t>
            </w:r>
          </w:p>
        </w:tc>
        <w:tc>
          <w:tcPr>
            <w:tcW w:w="2410" w:type="dxa"/>
          </w:tcPr>
          <w:p w:rsidR="00686E63" w:rsidRPr="00BF6F30" w:rsidRDefault="00686E63" w:rsidP="00F400BD">
            <w:pPr>
              <w:rPr>
                <w:rFonts w:ascii="Times New Roman" w:hAnsi="Times New Roman"/>
              </w:rPr>
            </w:pPr>
            <w:r>
              <w:rPr>
                <w:rFonts w:ascii="Times New Roman" w:hAnsi="Times New Roman"/>
              </w:rPr>
              <w:t>-0.17 (0.051)</w:t>
            </w:r>
          </w:p>
        </w:tc>
        <w:tc>
          <w:tcPr>
            <w:tcW w:w="1701" w:type="dxa"/>
          </w:tcPr>
          <w:p w:rsidR="00686E63" w:rsidRPr="00BF6F30" w:rsidRDefault="00686E63" w:rsidP="00F400BD">
            <w:pPr>
              <w:rPr>
                <w:rFonts w:ascii="Times New Roman" w:hAnsi="Times New Roman"/>
              </w:rPr>
            </w:pPr>
            <w:r>
              <w:rPr>
                <w:rFonts w:ascii="Times New Roman" w:hAnsi="Times New Roman"/>
              </w:rPr>
              <w:t>LRT</w:t>
            </w:r>
            <w:r>
              <w:rPr>
                <w:rFonts w:ascii="Times New Roman" w:hAnsi="Times New Roman"/>
                <w:vertAlign w:val="subscript"/>
              </w:rPr>
              <w:t>5,4</w:t>
            </w:r>
            <w:r>
              <w:rPr>
                <w:rFonts w:ascii="Times New Roman" w:hAnsi="Times New Roman"/>
              </w:rPr>
              <w:t>=10.62</w:t>
            </w:r>
          </w:p>
        </w:tc>
        <w:tc>
          <w:tcPr>
            <w:tcW w:w="1134" w:type="dxa"/>
          </w:tcPr>
          <w:p w:rsidR="00686E63" w:rsidRPr="00BF6F30" w:rsidRDefault="00686E63" w:rsidP="00F400BD">
            <w:pPr>
              <w:rPr>
                <w:rFonts w:ascii="Times New Roman" w:hAnsi="Times New Roman"/>
                <w:b/>
              </w:rPr>
            </w:pPr>
            <w:r>
              <w:rPr>
                <w:rFonts w:ascii="Times New Roman" w:hAnsi="Times New Roman"/>
                <w:b/>
              </w:rPr>
              <w:t>0.0011</w:t>
            </w:r>
          </w:p>
        </w:tc>
      </w:tr>
      <w:tr w:rsidR="00686E63" w:rsidRPr="000B46C1">
        <w:tc>
          <w:tcPr>
            <w:tcW w:w="1526" w:type="dxa"/>
            <w:vMerge/>
          </w:tcPr>
          <w:p w:rsidR="00686E63" w:rsidRPr="00D47DF8" w:rsidRDefault="00686E63">
            <w:pPr>
              <w:rPr>
                <w:rFonts w:ascii="Times New Roman" w:hAnsi="Times New Roman"/>
              </w:rPr>
            </w:pPr>
          </w:p>
        </w:tc>
        <w:tc>
          <w:tcPr>
            <w:tcW w:w="2835" w:type="dxa"/>
          </w:tcPr>
          <w:p w:rsidR="00686E63" w:rsidRPr="0004360F" w:rsidRDefault="00686E63" w:rsidP="00F400BD">
            <w:pPr>
              <w:rPr>
                <w:rFonts w:ascii="Times New Roman" w:hAnsi="Times New Roman"/>
              </w:rPr>
            </w:pPr>
            <w:r>
              <w:rPr>
                <w:rFonts w:ascii="Times New Roman" w:hAnsi="Times New Roman"/>
              </w:rPr>
              <w:t>Growth (n=14</w:t>
            </w:r>
            <w:r w:rsidRPr="0004360F">
              <w:rPr>
                <w:rFonts w:ascii="Times New Roman" w:hAnsi="Times New Roman"/>
              </w:rPr>
              <w:t>)</w:t>
            </w:r>
          </w:p>
        </w:tc>
        <w:tc>
          <w:tcPr>
            <w:tcW w:w="2410" w:type="dxa"/>
          </w:tcPr>
          <w:p w:rsidR="00686E63" w:rsidRPr="00BF6F30" w:rsidRDefault="00686E63" w:rsidP="00F400BD">
            <w:pPr>
              <w:rPr>
                <w:rFonts w:ascii="Times New Roman" w:hAnsi="Times New Roman"/>
              </w:rPr>
            </w:pPr>
            <w:r>
              <w:rPr>
                <w:rFonts w:ascii="Times New Roman" w:hAnsi="Times New Roman"/>
              </w:rPr>
              <w:t>-0.19 (0.064)</w:t>
            </w:r>
          </w:p>
        </w:tc>
        <w:tc>
          <w:tcPr>
            <w:tcW w:w="1701" w:type="dxa"/>
          </w:tcPr>
          <w:p w:rsidR="00686E63" w:rsidRPr="00BF6F30" w:rsidRDefault="00686E63" w:rsidP="00F400BD">
            <w:pPr>
              <w:rPr>
                <w:rFonts w:ascii="Times New Roman" w:hAnsi="Times New Roman"/>
              </w:rPr>
            </w:pPr>
            <w:r>
              <w:rPr>
                <w:rFonts w:ascii="Times New Roman" w:hAnsi="Times New Roman"/>
              </w:rPr>
              <w:t>LRT</w:t>
            </w:r>
            <w:r>
              <w:rPr>
                <w:rFonts w:ascii="Times New Roman" w:hAnsi="Times New Roman"/>
                <w:vertAlign w:val="subscript"/>
              </w:rPr>
              <w:t>5,4</w:t>
            </w:r>
            <w:r>
              <w:rPr>
                <w:rFonts w:ascii="Times New Roman" w:hAnsi="Times New Roman"/>
              </w:rPr>
              <w:t>=8.74</w:t>
            </w:r>
          </w:p>
        </w:tc>
        <w:tc>
          <w:tcPr>
            <w:tcW w:w="1134" w:type="dxa"/>
          </w:tcPr>
          <w:p w:rsidR="00686E63" w:rsidRPr="00BF6F30" w:rsidRDefault="00686E63" w:rsidP="00F400BD">
            <w:pPr>
              <w:rPr>
                <w:rFonts w:ascii="Times New Roman" w:hAnsi="Times New Roman"/>
              </w:rPr>
            </w:pPr>
            <w:r>
              <w:rPr>
                <w:rFonts w:ascii="Times New Roman" w:hAnsi="Times New Roman"/>
                <w:b/>
              </w:rPr>
              <w:t>0.0031</w:t>
            </w:r>
          </w:p>
        </w:tc>
      </w:tr>
      <w:tr w:rsidR="00686E63" w:rsidRPr="000B46C1">
        <w:tc>
          <w:tcPr>
            <w:tcW w:w="1526" w:type="dxa"/>
            <w:vMerge/>
          </w:tcPr>
          <w:p w:rsidR="00686E63" w:rsidRPr="00D47DF8" w:rsidRDefault="00686E63">
            <w:pPr>
              <w:rPr>
                <w:rFonts w:ascii="Times New Roman" w:hAnsi="Times New Roman"/>
              </w:rPr>
            </w:pPr>
          </w:p>
        </w:tc>
        <w:tc>
          <w:tcPr>
            <w:tcW w:w="2835" w:type="dxa"/>
          </w:tcPr>
          <w:p w:rsidR="00686E63" w:rsidRPr="0004360F" w:rsidRDefault="00686E63" w:rsidP="00F400BD">
            <w:pPr>
              <w:rPr>
                <w:rFonts w:ascii="Times New Roman" w:hAnsi="Times New Roman"/>
              </w:rPr>
            </w:pPr>
            <w:r>
              <w:rPr>
                <w:rFonts w:ascii="Times New Roman" w:hAnsi="Times New Roman"/>
              </w:rPr>
              <w:t>Fitness (n=11)</w:t>
            </w:r>
          </w:p>
        </w:tc>
        <w:tc>
          <w:tcPr>
            <w:tcW w:w="2410" w:type="dxa"/>
          </w:tcPr>
          <w:p w:rsidR="00686E63" w:rsidRPr="00BF6F30" w:rsidRDefault="00686E63" w:rsidP="00F400BD">
            <w:pPr>
              <w:rPr>
                <w:rFonts w:ascii="Times New Roman" w:hAnsi="Times New Roman"/>
              </w:rPr>
            </w:pPr>
            <w:r>
              <w:rPr>
                <w:rFonts w:ascii="Times New Roman" w:hAnsi="Times New Roman"/>
              </w:rPr>
              <w:t>-0.27 (0.10)</w:t>
            </w:r>
          </w:p>
        </w:tc>
        <w:tc>
          <w:tcPr>
            <w:tcW w:w="1701" w:type="dxa"/>
          </w:tcPr>
          <w:p w:rsidR="00686E63" w:rsidRPr="00BF6F30" w:rsidRDefault="00686E63" w:rsidP="00F400BD">
            <w:pPr>
              <w:rPr>
                <w:rFonts w:ascii="Times New Roman" w:hAnsi="Times New Roman"/>
              </w:rPr>
            </w:pPr>
            <w:r>
              <w:rPr>
                <w:rFonts w:ascii="Times New Roman" w:hAnsi="Times New Roman"/>
              </w:rPr>
              <w:t>LRT</w:t>
            </w:r>
            <w:r>
              <w:rPr>
                <w:rFonts w:ascii="Times New Roman" w:hAnsi="Times New Roman"/>
                <w:vertAlign w:val="subscript"/>
              </w:rPr>
              <w:t>5,4</w:t>
            </w:r>
            <w:r>
              <w:rPr>
                <w:rFonts w:ascii="Times New Roman" w:hAnsi="Times New Roman"/>
              </w:rPr>
              <w:t>=6.90</w:t>
            </w:r>
          </w:p>
        </w:tc>
        <w:tc>
          <w:tcPr>
            <w:tcW w:w="1134" w:type="dxa"/>
          </w:tcPr>
          <w:p w:rsidR="00686E63" w:rsidRPr="00BF6F30" w:rsidRDefault="00686E63" w:rsidP="00F400BD">
            <w:pPr>
              <w:rPr>
                <w:rFonts w:ascii="Times New Roman" w:hAnsi="Times New Roman"/>
                <w:b/>
              </w:rPr>
            </w:pPr>
            <w:r>
              <w:rPr>
                <w:rFonts w:ascii="Times New Roman" w:hAnsi="Times New Roman"/>
                <w:b/>
              </w:rPr>
              <w:t>0.0086</w:t>
            </w:r>
          </w:p>
        </w:tc>
      </w:tr>
      <w:tr w:rsidR="00686E63" w:rsidRPr="000B46C1">
        <w:tc>
          <w:tcPr>
            <w:tcW w:w="1526" w:type="dxa"/>
            <w:vMerge/>
          </w:tcPr>
          <w:p w:rsidR="00686E63" w:rsidRPr="00D47DF8" w:rsidRDefault="00686E63">
            <w:pPr>
              <w:rPr>
                <w:rFonts w:ascii="Times New Roman" w:hAnsi="Times New Roman"/>
              </w:rPr>
            </w:pPr>
          </w:p>
        </w:tc>
        <w:tc>
          <w:tcPr>
            <w:tcW w:w="2835" w:type="dxa"/>
          </w:tcPr>
          <w:p w:rsidR="00686E63" w:rsidRPr="0004360F" w:rsidRDefault="00686E63" w:rsidP="00F400BD">
            <w:pPr>
              <w:rPr>
                <w:rFonts w:ascii="Times New Roman" w:hAnsi="Times New Roman"/>
              </w:rPr>
            </w:pPr>
            <w:r w:rsidRPr="0004360F">
              <w:rPr>
                <w:rFonts w:ascii="Times New Roman" w:hAnsi="Times New Roman"/>
              </w:rPr>
              <w:t>Best estimate</w:t>
            </w:r>
            <w:r w:rsidRPr="0004360F">
              <w:rPr>
                <w:rFonts w:ascii="Times New Roman" w:hAnsi="Times New Roman"/>
                <w:i/>
              </w:rPr>
              <w:t xml:space="preserve"> (</w:t>
            </w:r>
            <w:r>
              <w:rPr>
                <w:rFonts w:ascii="Times New Roman" w:hAnsi="Times New Roman"/>
              </w:rPr>
              <w:t>n=</w:t>
            </w:r>
            <w:proofErr w:type="gramStart"/>
            <w:r>
              <w:rPr>
                <w:rFonts w:ascii="Times New Roman" w:hAnsi="Times New Roman"/>
              </w:rPr>
              <w:t>25)</w:t>
            </w:r>
            <w:r w:rsidRPr="0004360F">
              <w:rPr>
                <w:rFonts w:ascii="Times New Roman" w:hAnsi="Times New Roman"/>
                <w:vertAlign w:val="superscript"/>
              </w:rPr>
              <w:t>†</w:t>
            </w:r>
            <w:proofErr w:type="gramEnd"/>
          </w:p>
        </w:tc>
        <w:tc>
          <w:tcPr>
            <w:tcW w:w="2410" w:type="dxa"/>
          </w:tcPr>
          <w:p w:rsidR="00686E63" w:rsidRPr="00BF6F30" w:rsidRDefault="00686E63" w:rsidP="00F400BD">
            <w:pPr>
              <w:rPr>
                <w:rFonts w:ascii="Times New Roman" w:hAnsi="Times New Roman"/>
              </w:rPr>
            </w:pPr>
            <w:r>
              <w:rPr>
                <w:szCs w:val="22"/>
              </w:rPr>
              <w:t>-0.16 (0.055)</w:t>
            </w:r>
          </w:p>
        </w:tc>
        <w:tc>
          <w:tcPr>
            <w:tcW w:w="1701" w:type="dxa"/>
          </w:tcPr>
          <w:p w:rsidR="00686E63" w:rsidRPr="00BF6F30" w:rsidRDefault="00686E63" w:rsidP="00F400BD">
            <w:pPr>
              <w:rPr>
                <w:rFonts w:ascii="Times New Roman" w:hAnsi="Times New Roman"/>
              </w:rPr>
            </w:pPr>
            <w:r>
              <w:rPr>
                <w:rFonts w:ascii="Times New Roman" w:hAnsi="Times New Roman"/>
              </w:rPr>
              <w:t>LRT</w:t>
            </w:r>
            <w:r>
              <w:rPr>
                <w:rFonts w:ascii="Times New Roman" w:hAnsi="Times New Roman"/>
                <w:vertAlign w:val="subscript"/>
              </w:rPr>
              <w:t>6,5</w:t>
            </w:r>
            <w:r>
              <w:rPr>
                <w:rFonts w:ascii="Times New Roman" w:hAnsi="Times New Roman"/>
              </w:rPr>
              <w:t>=8.38</w:t>
            </w:r>
          </w:p>
        </w:tc>
        <w:tc>
          <w:tcPr>
            <w:tcW w:w="1134" w:type="dxa"/>
          </w:tcPr>
          <w:p w:rsidR="00686E63" w:rsidRPr="00BF6F30" w:rsidRDefault="00686E63" w:rsidP="00F400BD">
            <w:pPr>
              <w:rPr>
                <w:rFonts w:ascii="Times New Roman" w:hAnsi="Times New Roman"/>
                <w:b/>
              </w:rPr>
            </w:pPr>
            <w:r>
              <w:rPr>
                <w:rFonts w:ascii="Times New Roman" w:hAnsi="Times New Roman"/>
                <w:b/>
              </w:rPr>
              <w:t>0.0038</w:t>
            </w:r>
          </w:p>
        </w:tc>
      </w:tr>
      <w:tr w:rsidR="00686E63" w:rsidRPr="000B46C1">
        <w:tc>
          <w:tcPr>
            <w:tcW w:w="1526" w:type="dxa"/>
            <w:vMerge w:val="restart"/>
          </w:tcPr>
          <w:p w:rsidR="00686E63" w:rsidRPr="00D47DF8" w:rsidRDefault="00686E63" w:rsidP="00F400BD">
            <w:pPr>
              <w:rPr>
                <w:rFonts w:ascii="Times New Roman" w:hAnsi="Times New Roman"/>
              </w:rPr>
            </w:pPr>
            <w:r w:rsidRPr="00D47DF8">
              <w:rPr>
                <w:rFonts w:ascii="Times New Roman" w:hAnsi="Times New Roman"/>
              </w:rPr>
              <w:t>Vertical</w:t>
            </w:r>
          </w:p>
        </w:tc>
        <w:tc>
          <w:tcPr>
            <w:tcW w:w="2835" w:type="dxa"/>
          </w:tcPr>
          <w:p w:rsidR="00686E63" w:rsidRPr="0004360F" w:rsidRDefault="00686E63" w:rsidP="00F400BD">
            <w:pPr>
              <w:rPr>
                <w:rFonts w:ascii="Times New Roman" w:hAnsi="Times New Roman"/>
              </w:rPr>
            </w:pPr>
            <w:r w:rsidRPr="0004360F">
              <w:rPr>
                <w:rFonts w:ascii="Times New Roman" w:hAnsi="Times New Roman"/>
              </w:rPr>
              <w:t xml:space="preserve">Survival </w:t>
            </w:r>
            <w:r w:rsidRPr="0004360F">
              <w:rPr>
                <w:rFonts w:ascii="Times New Roman" w:hAnsi="Times New Roman"/>
                <w:i/>
              </w:rPr>
              <w:t>(</w:t>
            </w:r>
            <w:r>
              <w:rPr>
                <w:rFonts w:ascii="Times New Roman" w:hAnsi="Times New Roman"/>
              </w:rPr>
              <w:t>n=</w:t>
            </w:r>
            <w:proofErr w:type="gramStart"/>
            <w:r>
              <w:rPr>
                <w:rFonts w:ascii="Times New Roman" w:hAnsi="Times New Roman"/>
              </w:rPr>
              <w:t>18</w:t>
            </w:r>
            <w:r w:rsidRPr="0004360F">
              <w:rPr>
                <w:rFonts w:ascii="Times New Roman" w:hAnsi="Times New Roman"/>
              </w:rPr>
              <w:t>)</w:t>
            </w:r>
            <w:r>
              <w:rPr>
                <w:rFonts w:ascii="Times New Roman" w:hAnsi="Times New Roman"/>
                <w:vertAlign w:val="superscript"/>
              </w:rPr>
              <w:t>*</w:t>
            </w:r>
            <w:proofErr w:type="gramEnd"/>
          </w:p>
        </w:tc>
        <w:tc>
          <w:tcPr>
            <w:tcW w:w="2410" w:type="dxa"/>
          </w:tcPr>
          <w:p w:rsidR="00686E63" w:rsidRPr="00BF6F30" w:rsidRDefault="00686E63" w:rsidP="00F400BD">
            <w:pPr>
              <w:rPr>
                <w:rFonts w:ascii="Times New Roman" w:hAnsi="Times New Roman"/>
              </w:rPr>
            </w:pPr>
            <w:r>
              <w:rPr>
                <w:rFonts w:ascii="Times New Roman" w:hAnsi="Times New Roman"/>
              </w:rPr>
              <w:t>-0.48 (0.098)</w:t>
            </w:r>
          </w:p>
        </w:tc>
        <w:tc>
          <w:tcPr>
            <w:tcW w:w="1701" w:type="dxa"/>
          </w:tcPr>
          <w:p w:rsidR="00686E63" w:rsidRPr="00BF6F30" w:rsidRDefault="00686E63" w:rsidP="00F400BD">
            <w:pPr>
              <w:rPr>
                <w:rFonts w:ascii="Times New Roman" w:hAnsi="Times New Roman"/>
              </w:rPr>
            </w:pPr>
            <w:r>
              <w:rPr>
                <w:rFonts w:ascii="Times New Roman" w:hAnsi="Times New Roman"/>
              </w:rPr>
              <w:t>LRT</w:t>
            </w:r>
            <w:r>
              <w:rPr>
                <w:rFonts w:ascii="Times New Roman" w:hAnsi="Times New Roman"/>
                <w:vertAlign w:val="subscript"/>
              </w:rPr>
              <w:t>6,5</w:t>
            </w:r>
            <w:r>
              <w:rPr>
                <w:rFonts w:ascii="Times New Roman" w:hAnsi="Times New Roman"/>
              </w:rPr>
              <w:t>=19.91</w:t>
            </w:r>
          </w:p>
        </w:tc>
        <w:tc>
          <w:tcPr>
            <w:tcW w:w="1134" w:type="dxa"/>
          </w:tcPr>
          <w:p w:rsidR="00686E63" w:rsidRPr="00BF6F30" w:rsidRDefault="00686E63">
            <w:pPr>
              <w:rPr>
                <w:rFonts w:ascii="Times New Roman" w:hAnsi="Times New Roman"/>
                <w:b/>
              </w:rPr>
            </w:pPr>
            <w:r>
              <w:rPr>
                <w:rFonts w:ascii="Times New Roman" w:hAnsi="Times New Roman"/>
                <w:b/>
              </w:rPr>
              <w:t>&lt;0.0001</w:t>
            </w:r>
          </w:p>
        </w:tc>
      </w:tr>
      <w:tr w:rsidR="00686E63" w:rsidRPr="000B46C1">
        <w:tc>
          <w:tcPr>
            <w:tcW w:w="1526" w:type="dxa"/>
            <w:vMerge/>
            <w:tcBorders>
              <w:bottom w:val="single" w:sz="4" w:space="0" w:color="000000" w:themeColor="text1"/>
            </w:tcBorders>
          </w:tcPr>
          <w:p w:rsidR="00686E63" w:rsidRPr="000B46C1" w:rsidRDefault="00686E63">
            <w:pPr>
              <w:rPr>
                <w:rFonts w:ascii="Times New Roman" w:hAnsi="Times New Roman"/>
              </w:rPr>
            </w:pPr>
          </w:p>
        </w:tc>
        <w:tc>
          <w:tcPr>
            <w:tcW w:w="2835" w:type="dxa"/>
          </w:tcPr>
          <w:p w:rsidR="00686E63" w:rsidRPr="0004360F" w:rsidRDefault="00686E63" w:rsidP="00F400BD">
            <w:pPr>
              <w:rPr>
                <w:rFonts w:ascii="Times New Roman" w:hAnsi="Times New Roman"/>
              </w:rPr>
            </w:pPr>
            <w:r>
              <w:rPr>
                <w:rFonts w:ascii="Times New Roman" w:hAnsi="Times New Roman"/>
              </w:rPr>
              <w:t>Growth (n=6</w:t>
            </w:r>
            <w:r w:rsidRPr="0004360F">
              <w:rPr>
                <w:rFonts w:ascii="Times New Roman" w:hAnsi="Times New Roman"/>
              </w:rPr>
              <w:t>)</w:t>
            </w:r>
          </w:p>
        </w:tc>
        <w:tc>
          <w:tcPr>
            <w:tcW w:w="2410" w:type="dxa"/>
          </w:tcPr>
          <w:p w:rsidR="00686E63" w:rsidRPr="00BF6F30" w:rsidRDefault="00686E63" w:rsidP="00F400BD">
            <w:pPr>
              <w:rPr>
                <w:rFonts w:ascii="Times New Roman" w:hAnsi="Times New Roman"/>
              </w:rPr>
            </w:pPr>
            <w:r>
              <w:rPr>
                <w:rFonts w:ascii="Times New Roman" w:hAnsi="Times New Roman"/>
              </w:rPr>
              <w:t>-0.37 (0.15)</w:t>
            </w:r>
          </w:p>
        </w:tc>
        <w:tc>
          <w:tcPr>
            <w:tcW w:w="1701" w:type="dxa"/>
          </w:tcPr>
          <w:p w:rsidR="00686E63" w:rsidRPr="00BF6F30" w:rsidRDefault="00686E63" w:rsidP="00F400BD">
            <w:pPr>
              <w:rPr>
                <w:rFonts w:ascii="Times New Roman" w:hAnsi="Times New Roman"/>
              </w:rPr>
            </w:pPr>
            <w:r>
              <w:rPr>
                <w:rFonts w:ascii="Times New Roman" w:hAnsi="Times New Roman"/>
              </w:rPr>
              <w:t>LRT</w:t>
            </w:r>
            <w:r>
              <w:rPr>
                <w:rFonts w:ascii="Times New Roman" w:hAnsi="Times New Roman"/>
                <w:vertAlign w:val="subscript"/>
              </w:rPr>
              <w:t>5,4</w:t>
            </w:r>
            <w:r>
              <w:rPr>
                <w:rFonts w:ascii="Times New Roman" w:hAnsi="Times New Roman"/>
              </w:rPr>
              <w:t>=5.80</w:t>
            </w:r>
          </w:p>
        </w:tc>
        <w:tc>
          <w:tcPr>
            <w:tcW w:w="1134" w:type="dxa"/>
          </w:tcPr>
          <w:p w:rsidR="00686E63" w:rsidRPr="00BF6F30" w:rsidRDefault="00686E63">
            <w:pPr>
              <w:rPr>
                <w:rFonts w:ascii="Times New Roman" w:hAnsi="Times New Roman"/>
                <w:b/>
              </w:rPr>
            </w:pPr>
            <w:r>
              <w:rPr>
                <w:rFonts w:ascii="Times New Roman" w:hAnsi="Times New Roman"/>
                <w:b/>
              </w:rPr>
              <w:t>0.016</w:t>
            </w:r>
          </w:p>
        </w:tc>
      </w:tr>
      <w:tr w:rsidR="00686E63" w:rsidRPr="000B46C1">
        <w:tc>
          <w:tcPr>
            <w:tcW w:w="1526" w:type="dxa"/>
            <w:vMerge/>
            <w:tcBorders>
              <w:top w:val="single" w:sz="4" w:space="0" w:color="000000" w:themeColor="text1"/>
              <w:bottom w:val="single" w:sz="4" w:space="0" w:color="000000" w:themeColor="text1"/>
            </w:tcBorders>
          </w:tcPr>
          <w:p w:rsidR="00686E63" w:rsidRPr="000B46C1" w:rsidRDefault="00686E63">
            <w:pPr>
              <w:rPr>
                <w:rFonts w:ascii="Times New Roman" w:hAnsi="Times New Roman"/>
              </w:rPr>
            </w:pPr>
          </w:p>
        </w:tc>
        <w:tc>
          <w:tcPr>
            <w:tcW w:w="2835" w:type="dxa"/>
          </w:tcPr>
          <w:p w:rsidR="00686E63" w:rsidRPr="0004360F" w:rsidRDefault="00686E63" w:rsidP="00F400BD">
            <w:pPr>
              <w:rPr>
                <w:rFonts w:ascii="Times New Roman" w:hAnsi="Times New Roman"/>
              </w:rPr>
            </w:pPr>
            <w:r>
              <w:rPr>
                <w:rFonts w:ascii="Times New Roman" w:hAnsi="Times New Roman"/>
              </w:rPr>
              <w:t>Fitness (n=</w:t>
            </w:r>
            <w:proofErr w:type="gramStart"/>
            <w:r>
              <w:rPr>
                <w:rFonts w:ascii="Times New Roman" w:hAnsi="Times New Roman"/>
              </w:rPr>
              <w:t>10</w:t>
            </w:r>
            <w:r w:rsidRPr="0004360F">
              <w:rPr>
                <w:rFonts w:ascii="Times New Roman" w:hAnsi="Times New Roman"/>
              </w:rPr>
              <w:t>)</w:t>
            </w:r>
            <w:r>
              <w:rPr>
                <w:rFonts w:ascii="Times New Roman" w:hAnsi="Times New Roman"/>
                <w:vertAlign w:val="superscript"/>
              </w:rPr>
              <w:t>*</w:t>
            </w:r>
            <w:proofErr w:type="gramEnd"/>
          </w:p>
        </w:tc>
        <w:tc>
          <w:tcPr>
            <w:tcW w:w="2410" w:type="dxa"/>
          </w:tcPr>
          <w:p w:rsidR="00686E63" w:rsidRPr="00BF6F30" w:rsidRDefault="00686E63" w:rsidP="00F400BD">
            <w:pPr>
              <w:rPr>
                <w:rFonts w:ascii="Times New Roman" w:hAnsi="Times New Roman"/>
              </w:rPr>
            </w:pPr>
            <w:r>
              <w:rPr>
                <w:rFonts w:ascii="Times New Roman" w:hAnsi="Times New Roman"/>
              </w:rPr>
              <w:t>-0.88 (0.18)</w:t>
            </w:r>
          </w:p>
        </w:tc>
        <w:tc>
          <w:tcPr>
            <w:tcW w:w="1701" w:type="dxa"/>
          </w:tcPr>
          <w:p w:rsidR="00686E63" w:rsidRPr="00BF6F30" w:rsidRDefault="00686E63" w:rsidP="00F400BD">
            <w:pPr>
              <w:rPr>
                <w:rFonts w:ascii="Times New Roman" w:hAnsi="Times New Roman"/>
              </w:rPr>
            </w:pPr>
            <w:r>
              <w:rPr>
                <w:rFonts w:ascii="Times New Roman" w:hAnsi="Times New Roman"/>
              </w:rPr>
              <w:t>LRT</w:t>
            </w:r>
            <w:r>
              <w:rPr>
                <w:rFonts w:ascii="Times New Roman" w:hAnsi="Times New Roman"/>
                <w:vertAlign w:val="subscript"/>
              </w:rPr>
              <w:t>6,5</w:t>
            </w:r>
            <w:r>
              <w:rPr>
                <w:rFonts w:ascii="Times New Roman" w:hAnsi="Times New Roman"/>
              </w:rPr>
              <w:t>=15.98</w:t>
            </w:r>
          </w:p>
        </w:tc>
        <w:tc>
          <w:tcPr>
            <w:tcW w:w="1134" w:type="dxa"/>
          </w:tcPr>
          <w:p w:rsidR="00686E63" w:rsidRPr="00BF6F30" w:rsidRDefault="00686E63">
            <w:pPr>
              <w:rPr>
                <w:rFonts w:ascii="Times New Roman" w:hAnsi="Times New Roman"/>
                <w:b/>
              </w:rPr>
            </w:pPr>
            <w:r>
              <w:rPr>
                <w:rFonts w:ascii="Times New Roman" w:hAnsi="Times New Roman"/>
                <w:b/>
              </w:rPr>
              <w:t>&lt;0.0001</w:t>
            </w:r>
          </w:p>
        </w:tc>
      </w:tr>
      <w:tr w:rsidR="00686E63" w:rsidRPr="000B46C1">
        <w:tc>
          <w:tcPr>
            <w:tcW w:w="1526" w:type="dxa"/>
            <w:vMerge/>
            <w:tcBorders>
              <w:top w:val="single" w:sz="4" w:space="0" w:color="000000" w:themeColor="text1"/>
              <w:bottom w:val="single" w:sz="4" w:space="0" w:color="000000" w:themeColor="text1"/>
            </w:tcBorders>
          </w:tcPr>
          <w:p w:rsidR="00686E63" w:rsidRPr="000B46C1" w:rsidRDefault="00686E63">
            <w:pPr>
              <w:rPr>
                <w:rFonts w:ascii="Times New Roman" w:hAnsi="Times New Roman"/>
              </w:rPr>
            </w:pPr>
          </w:p>
        </w:tc>
        <w:tc>
          <w:tcPr>
            <w:tcW w:w="2835" w:type="dxa"/>
            <w:tcBorders>
              <w:bottom w:val="single" w:sz="4" w:space="0" w:color="000000" w:themeColor="text1"/>
            </w:tcBorders>
          </w:tcPr>
          <w:p w:rsidR="00686E63" w:rsidRPr="0004360F" w:rsidRDefault="00686E63" w:rsidP="00F400BD">
            <w:pPr>
              <w:rPr>
                <w:rFonts w:ascii="Times New Roman" w:hAnsi="Times New Roman"/>
              </w:rPr>
            </w:pPr>
            <w:r w:rsidRPr="0004360F">
              <w:rPr>
                <w:rFonts w:ascii="Times New Roman" w:hAnsi="Times New Roman"/>
              </w:rPr>
              <w:t>Best es</w:t>
            </w:r>
            <w:r>
              <w:rPr>
                <w:rFonts w:ascii="Times New Roman" w:hAnsi="Times New Roman"/>
              </w:rPr>
              <w:t>timate (n=</w:t>
            </w:r>
            <w:proofErr w:type="gramStart"/>
            <w:r>
              <w:rPr>
                <w:rFonts w:ascii="Times New Roman" w:hAnsi="Times New Roman"/>
              </w:rPr>
              <w:t>19</w:t>
            </w:r>
            <w:r w:rsidRPr="0004360F">
              <w:rPr>
                <w:rFonts w:ascii="Times New Roman" w:hAnsi="Times New Roman"/>
              </w:rPr>
              <w:t>)</w:t>
            </w:r>
            <w:r w:rsidRPr="0004360F">
              <w:rPr>
                <w:rFonts w:ascii="Times New Roman" w:hAnsi="Times New Roman"/>
                <w:vertAlign w:val="superscript"/>
              </w:rPr>
              <w:t>†</w:t>
            </w:r>
            <w:proofErr w:type="gramEnd"/>
          </w:p>
        </w:tc>
        <w:tc>
          <w:tcPr>
            <w:tcW w:w="2410" w:type="dxa"/>
            <w:tcBorders>
              <w:bottom w:val="single" w:sz="4" w:space="0" w:color="000000" w:themeColor="text1"/>
            </w:tcBorders>
          </w:tcPr>
          <w:p w:rsidR="00686E63" w:rsidRPr="00BF6F30" w:rsidRDefault="00686E63" w:rsidP="00F400BD">
            <w:pPr>
              <w:rPr>
                <w:rFonts w:ascii="Times New Roman" w:hAnsi="Times New Roman"/>
              </w:rPr>
            </w:pPr>
            <w:r>
              <w:rPr>
                <w:szCs w:val="22"/>
              </w:rPr>
              <w:t>-0.35 (0.077)</w:t>
            </w:r>
          </w:p>
        </w:tc>
        <w:tc>
          <w:tcPr>
            <w:tcW w:w="1701" w:type="dxa"/>
            <w:tcBorders>
              <w:bottom w:val="single" w:sz="4" w:space="0" w:color="000000" w:themeColor="text1"/>
            </w:tcBorders>
          </w:tcPr>
          <w:p w:rsidR="00686E63" w:rsidRPr="00BF6F30" w:rsidRDefault="00686E63" w:rsidP="00F400BD">
            <w:pPr>
              <w:rPr>
                <w:rFonts w:ascii="Times New Roman" w:hAnsi="Times New Roman"/>
              </w:rPr>
            </w:pPr>
            <w:r>
              <w:rPr>
                <w:rFonts w:ascii="Times New Roman" w:hAnsi="Times New Roman"/>
              </w:rPr>
              <w:t>LRT</w:t>
            </w:r>
            <w:r>
              <w:rPr>
                <w:rFonts w:ascii="Times New Roman" w:hAnsi="Times New Roman"/>
                <w:vertAlign w:val="subscript"/>
              </w:rPr>
              <w:t>7,6</w:t>
            </w:r>
            <w:r>
              <w:rPr>
                <w:rFonts w:ascii="Times New Roman" w:hAnsi="Times New Roman"/>
              </w:rPr>
              <w:t>=13.58</w:t>
            </w:r>
          </w:p>
        </w:tc>
        <w:tc>
          <w:tcPr>
            <w:tcW w:w="1134" w:type="dxa"/>
            <w:tcBorders>
              <w:bottom w:val="single" w:sz="4" w:space="0" w:color="000000" w:themeColor="text1"/>
            </w:tcBorders>
          </w:tcPr>
          <w:p w:rsidR="00686E63" w:rsidRPr="00BF6F30" w:rsidRDefault="00686E63">
            <w:pPr>
              <w:rPr>
                <w:rFonts w:ascii="Times New Roman" w:hAnsi="Times New Roman"/>
                <w:b/>
              </w:rPr>
            </w:pPr>
            <w:r>
              <w:rPr>
                <w:rFonts w:ascii="Times New Roman" w:hAnsi="Times New Roman"/>
                <w:b/>
              </w:rPr>
              <w:t>&lt;0.0001</w:t>
            </w:r>
          </w:p>
        </w:tc>
      </w:tr>
    </w:tbl>
    <w:p w:rsidR="00686E63" w:rsidRDefault="00686E63" w:rsidP="008E4A03">
      <w:pPr>
        <w:rPr>
          <w:rFonts w:ascii="Times New Roman" w:hAnsi="Times New Roman"/>
          <w:vertAlign w:val="superscript"/>
        </w:rPr>
      </w:pPr>
      <w:r>
        <w:rPr>
          <w:rFonts w:ascii="Times New Roman" w:hAnsi="Times New Roman"/>
          <w:vertAlign w:val="superscript"/>
        </w:rPr>
        <w:t>*</w:t>
      </w:r>
      <w:r w:rsidRPr="00BF6F30">
        <w:rPr>
          <w:rFonts w:ascii="Times New Roman" w:hAnsi="Times New Roman"/>
          <w:vertAlign w:val="superscript"/>
        </w:rPr>
        <w:t xml:space="preserve"> </w:t>
      </w:r>
      <w:r w:rsidRPr="00BF6F30">
        <w:rPr>
          <w:rFonts w:ascii="Times New Roman" w:hAnsi="Times New Roman" w:cs="Times New Roman"/>
          <w:sz w:val="20"/>
          <w:szCs w:val="20"/>
        </w:rPr>
        <w:t>To improve homoscedasticity, variances were allowed to vary by site type.</w:t>
      </w:r>
    </w:p>
    <w:p w:rsidR="008E4A03" w:rsidRPr="008E4A03" w:rsidRDefault="00686E63" w:rsidP="008E4A03">
      <w:pPr>
        <w:rPr>
          <w:rFonts w:ascii="Times New Roman" w:hAnsi="Times New Roman" w:cs="Times New Roman"/>
          <w:sz w:val="20"/>
          <w:szCs w:val="20"/>
        </w:rPr>
      </w:pPr>
      <w:r w:rsidRPr="00BF6F30">
        <w:rPr>
          <w:rFonts w:ascii="Times New Roman" w:hAnsi="Times New Roman"/>
          <w:vertAlign w:val="superscript"/>
        </w:rPr>
        <w:t>†</w:t>
      </w:r>
      <w:r w:rsidR="008E4A03" w:rsidRPr="00BF6F30">
        <w:rPr>
          <w:rFonts w:ascii="Times New Roman" w:hAnsi="Times New Roman" w:cs="Times New Roman"/>
          <w:sz w:val="20"/>
          <w:szCs w:val="20"/>
        </w:rPr>
        <w:t>To improve homoscedasticity, variances were allowed to vary by the type of fitness estimate.</w:t>
      </w:r>
      <w:r w:rsidR="008E4A03" w:rsidRPr="00BF6F30">
        <w:t xml:space="preserve"> </w:t>
      </w:r>
    </w:p>
    <w:p w:rsidR="008E4A03" w:rsidRPr="00BF6F30" w:rsidRDefault="008E4A03" w:rsidP="008E4A03">
      <w:pPr>
        <w:rPr>
          <w:rFonts w:ascii="Times New Roman" w:hAnsi="Times New Roman" w:cs="Times New Roman"/>
          <w:sz w:val="20"/>
          <w:szCs w:val="20"/>
        </w:rPr>
      </w:pPr>
    </w:p>
    <w:p w:rsidR="007F4278" w:rsidRDefault="007F4278" w:rsidP="00426B97">
      <w:pPr>
        <w:rPr>
          <w:rFonts w:ascii="Times New Roman" w:hAnsi="Times New Roman"/>
        </w:rPr>
      </w:pPr>
    </w:p>
    <w:p w:rsidR="007F4278" w:rsidRPr="007F4278" w:rsidRDefault="007F4278" w:rsidP="007F4278">
      <w:pPr>
        <w:rPr>
          <w:rFonts w:ascii="Times New Roman" w:hAnsi="Times New Roman" w:cs="Times New Roman"/>
          <w:sz w:val="20"/>
          <w:szCs w:val="20"/>
        </w:rPr>
      </w:pPr>
    </w:p>
    <w:p w:rsidR="00426B97" w:rsidRPr="00451464" w:rsidRDefault="00426B97" w:rsidP="00426B97">
      <w:pPr>
        <w:rPr>
          <w:rFonts w:ascii="Times New Roman" w:hAnsi="Times New Roman"/>
          <w:i/>
          <w:sz w:val="20"/>
        </w:rPr>
      </w:pPr>
    </w:p>
    <w:p w:rsidR="00426B97" w:rsidRDefault="00426B97" w:rsidP="00426B97">
      <w:pPr>
        <w:rPr>
          <w:rFonts w:ascii="Times New Roman" w:hAnsi="Times New Roman"/>
        </w:rPr>
      </w:pPr>
      <w:r>
        <w:rPr>
          <w:rFonts w:ascii="Times New Roman" w:hAnsi="Times New Roman"/>
        </w:rPr>
        <w:br w:type="page"/>
      </w:r>
      <w:r w:rsidRPr="00717BCC">
        <w:rPr>
          <w:rFonts w:ascii="Times New Roman" w:hAnsi="Times New Roman"/>
        </w:rPr>
        <w:lastRenderedPageBreak/>
        <w:t>Table S</w:t>
      </w:r>
      <w:r w:rsidR="00FE7F7A">
        <w:rPr>
          <w:rFonts w:ascii="Times New Roman" w:hAnsi="Times New Roman"/>
        </w:rPr>
        <w:t>3-</w:t>
      </w:r>
      <w:r w:rsidRPr="00717BCC">
        <w:rPr>
          <w:rFonts w:ascii="Times New Roman" w:hAnsi="Times New Roman"/>
        </w:rPr>
        <w:t>2. Differences in the suitability of transplant sites across range limits when niche models are calibrated in different ways. Comparisons between the full and reduced model (i.e. without site type) were based on likelihood</w:t>
      </w:r>
      <w:r>
        <w:rPr>
          <w:rFonts w:ascii="Times New Roman" w:hAnsi="Times New Roman"/>
        </w:rPr>
        <w:t xml:space="preserve"> ratio tests (LRT).</w:t>
      </w:r>
      <w:r w:rsidRPr="000C1D0B">
        <w:rPr>
          <w:rFonts w:ascii="Times New Roman" w:hAnsi="Times New Roman"/>
        </w:rPr>
        <w:t xml:space="preserve"> Significant values (p&lt;0.05) are in bold. </w:t>
      </w:r>
    </w:p>
    <w:p w:rsidR="00F7204D" w:rsidRDefault="00F7204D" w:rsidP="00426B97">
      <w:pPr>
        <w:rPr>
          <w:rFonts w:ascii="Times New Roman" w:hAnsi="Times New Roman"/>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28"/>
        <w:gridCol w:w="1701"/>
        <w:gridCol w:w="1559"/>
        <w:gridCol w:w="1134"/>
      </w:tblGrid>
      <w:tr w:rsidR="00F7204D" w:rsidRPr="00ED719B">
        <w:tc>
          <w:tcPr>
            <w:tcW w:w="1242" w:type="dxa"/>
            <w:tcBorders>
              <w:top w:val="single" w:sz="4" w:space="0" w:color="000000" w:themeColor="text1"/>
              <w:bottom w:val="single" w:sz="4" w:space="0" w:color="000000" w:themeColor="text1"/>
            </w:tcBorders>
          </w:tcPr>
          <w:p w:rsidR="00F7204D" w:rsidRPr="00ED719B" w:rsidRDefault="00F7204D" w:rsidP="00F7204D">
            <w:pPr>
              <w:rPr>
                <w:rFonts w:ascii="Times New Roman" w:hAnsi="Times New Roman"/>
                <w:sz w:val="22"/>
              </w:rPr>
            </w:pPr>
            <w:r w:rsidRPr="00ED719B">
              <w:rPr>
                <w:rFonts w:ascii="Times New Roman" w:hAnsi="Times New Roman"/>
                <w:sz w:val="22"/>
              </w:rPr>
              <w:t>Analysis</w:t>
            </w:r>
          </w:p>
        </w:tc>
        <w:tc>
          <w:tcPr>
            <w:tcW w:w="3828" w:type="dxa"/>
            <w:tcBorders>
              <w:top w:val="single" w:sz="4" w:space="0" w:color="000000" w:themeColor="text1"/>
              <w:bottom w:val="single" w:sz="4" w:space="0" w:color="000000" w:themeColor="text1"/>
            </w:tcBorders>
          </w:tcPr>
          <w:p w:rsidR="00F7204D" w:rsidRPr="00ED719B" w:rsidRDefault="00F7204D" w:rsidP="00F7204D">
            <w:pPr>
              <w:rPr>
                <w:rFonts w:ascii="Times New Roman" w:hAnsi="Times New Roman"/>
                <w:sz w:val="22"/>
              </w:rPr>
            </w:pPr>
            <w:r w:rsidRPr="00ED719B">
              <w:rPr>
                <w:rFonts w:ascii="Times New Roman" w:hAnsi="Times New Roman"/>
                <w:sz w:val="22"/>
              </w:rPr>
              <w:t>ENM methodology</w:t>
            </w:r>
          </w:p>
        </w:tc>
        <w:tc>
          <w:tcPr>
            <w:tcW w:w="1701" w:type="dxa"/>
            <w:tcBorders>
              <w:top w:val="single" w:sz="4" w:space="0" w:color="000000" w:themeColor="text1"/>
              <w:bottom w:val="single" w:sz="4" w:space="0" w:color="000000" w:themeColor="text1"/>
            </w:tcBorders>
          </w:tcPr>
          <w:p w:rsidR="00F7204D" w:rsidRPr="00ED719B" w:rsidRDefault="00F7204D">
            <w:pPr>
              <w:rPr>
                <w:rFonts w:ascii="Times New Roman" w:hAnsi="Times New Roman"/>
                <w:sz w:val="22"/>
              </w:rPr>
            </w:pPr>
            <w:r w:rsidRPr="00ED719B">
              <w:rPr>
                <w:rFonts w:ascii="Times New Roman" w:hAnsi="Times New Roman"/>
                <w:sz w:val="22"/>
              </w:rPr>
              <w:t>Mean coefficient (SE)</w:t>
            </w:r>
          </w:p>
        </w:tc>
        <w:tc>
          <w:tcPr>
            <w:tcW w:w="1559" w:type="dxa"/>
            <w:tcBorders>
              <w:top w:val="single" w:sz="4" w:space="0" w:color="000000" w:themeColor="text1"/>
              <w:bottom w:val="single" w:sz="4" w:space="0" w:color="000000" w:themeColor="text1"/>
            </w:tcBorders>
          </w:tcPr>
          <w:p w:rsidR="00F7204D" w:rsidRPr="00ED719B" w:rsidRDefault="00F7204D">
            <w:pPr>
              <w:rPr>
                <w:rFonts w:ascii="Times New Roman" w:hAnsi="Times New Roman"/>
                <w:sz w:val="22"/>
              </w:rPr>
            </w:pPr>
            <w:r w:rsidRPr="00ED719B">
              <w:rPr>
                <w:rFonts w:ascii="Times New Roman" w:hAnsi="Times New Roman"/>
                <w:sz w:val="22"/>
              </w:rPr>
              <w:t>LRT</w:t>
            </w:r>
          </w:p>
        </w:tc>
        <w:tc>
          <w:tcPr>
            <w:tcW w:w="1134" w:type="dxa"/>
            <w:tcBorders>
              <w:top w:val="single" w:sz="4" w:space="0" w:color="000000" w:themeColor="text1"/>
              <w:bottom w:val="single" w:sz="4" w:space="0" w:color="000000" w:themeColor="text1"/>
            </w:tcBorders>
          </w:tcPr>
          <w:p w:rsidR="00F7204D" w:rsidRPr="00ED719B" w:rsidRDefault="00F7204D">
            <w:pPr>
              <w:rPr>
                <w:rFonts w:ascii="Times New Roman" w:hAnsi="Times New Roman"/>
                <w:sz w:val="22"/>
              </w:rPr>
            </w:pPr>
            <w:r w:rsidRPr="00ED719B">
              <w:rPr>
                <w:rFonts w:ascii="Times New Roman" w:hAnsi="Times New Roman"/>
                <w:sz w:val="22"/>
              </w:rPr>
              <w:t>p value</w:t>
            </w:r>
          </w:p>
        </w:tc>
      </w:tr>
      <w:tr w:rsidR="001A2B59" w:rsidRPr="00ED719B">
        <w:tc>
          <w:tcPr>
            <w:tcW w:w="1242" w:type="dxa"/>
            <w:vMerge w:val="restart"/>
            <w:tcBorders>
              <w:top w:val="single" w:sz="4" w:space="0" w:color="000000" w:themeColor="text1"/>
            </w:tcBorders>
          </w:tcPr>
          <w:p w:rsidR="001A2B59" w:rsidRPr="00ED719B" w:rsidRDefault="001A2B59">
            <w:pPr>
              <w:rPr>
                <w:rFonts w:ascii="Times New Roman" w:hAnsi="Times New Roman"/>
                <w:sz w:val="22"/>
              </w:rPr>
            </w:pPr>
            <w:r w:rsidRPr="00ED719B">
              <w:rPr>
                <w:rFonts w:ascii="Times New Roman" w:hAnsi="Times New Roman"/>
                <w:sz w:val="22"/>
              </w:rPr>
              <w:t>Combined</w:t>
            </w:r>
          </w:p>
          <w:p w:rsidR="001A2B59" w:rsidRPr="00ED719B" w:rsidRDefault="001A2B59">
            <w:pPr>
              <w:rPr>
                <w:rFonts w:ascii="Times New Roman" w:hAnsi="Times New Roman"/>
                <w:sz w:val="22"/>
              </w:rPr>
            </w:pPr>
            <w:r>
              <w:rPr>
                <w:rFonts w:ascii="Times New Roman" w:hAnsi="Times New Roman"/>
                <w:sz w:val="22"/>
              </w:rPr>
              <w:t>(N = 40)</w:t>
            </w:r>
          </w:p>
        </w:tc>
        <w:tc>
          <w:tcPr>
            <w:tcW w:w="3828" w:type="dxa"/>
            <w:tcBorders>
              <w:top w:val="single" w:sz="4" w:space="0" w:color="000000" w:themeColor="text1"/>
            </w:tcBorders>
          </w:tcPr>
          <w:p w:rsidR="001A2B59" w:rsidRPr="00ED719B" w:rsidRDefault="001A2B59" w:rsidP="00F7204D">
            <w:pPr>
              <w:rPr>
                <w:rFonts w:ascii="Times New Roman" w:hAnsi="Times New Roman"/>
                <w:sz w:val="22"/>
              </w:rPr>
            </w:pPr>
            <w:r w:rsidRPr="00ED719B">
              <w:rPr>
                <w:rFonts w:ascii="Times New Roman" w:hAnsi="Times New Roman"/>
                <w:sz w:val="22"/>
              </w:rPr>
              <w:t xml:space="preserve">Hinge features, PCA predictors, MCP background extent </w:t>
            </w:r>
            <w:r w:rsidR="009910B9">
              <w:rPr>
                <w:rFonts w:ascii="Times New Roman" w:hAnsi="Times New Roman"/>
                <w:sz w:val="22"/>
              </w:rPr>
              <w:t>(V1)</w:t>
            </w:r>
          </w:p>
        </w:tc>
        <w:tc>
          <w:tcPr>
            <w:tcW w:w="1701" w:type="dxa"/>
            <w:tcBorders>
              <w:top w:val="single" w:sz="4" w:space="0" w:color="000000" w:themeColor="text1"/>
            </w:tcBorders>
          </w:tcPr>
          <w:p w:rsidR="001A2B59" w:rsidRPr="00ED719B" w:rsidRDefault="001A2B59" w:rsidP="00F7204D">
            <w:pPr>
              <w:rPr>
                <w:rFonts w:ascii="Times New Roman" w:hAnsi="Times New Roman"/>
                <w:sz w:val="22"/>
              </w:rPr>
            </w:pPr>
            <w:r>
              <w:rPr>
                <w:szCs w:val="22"/>
              </w:rPr>
              <w:t>-0.29 (0.056)</w:t>
            </w:r>
          </w:p>
        </w:tc>
        <w:tc>
          <w:tcPr>
            <w:tcW w:w="1559" w:type="dxa"/>
            <w:tcBorders>
              <w:top w:val="single" w:sz="4" w:space="0" w:color="000000" w:themeColor="text1"/>
            </w:tcBorders>
          </w:tcPr>
          <w:p w:rsidR="001A2B59" w:rsidRPr="00AD2FF2" w:rsidRDefault="001A2B59" w:rsidP="00F7204D">
            <w:r>
              <w:rPr>
                <w:rFonts w:ascii="Times New Roman" w:hAnsi="Times New Roman"/>
              </w:rPr>
              <w:t>LRT</w:t>
            </w:r>
            <w:r>
              <w:rPr>
                <w:rFonts w:ascii="Times New Roman" w:hAnsi="Times New Roman"/>
                <w:vertAlign w:val="subscript"/>
              </w:rPr>
              <w:t>4,3</w:t>
            </w:r>
            <w:r>
              <w:rPr>
                <w:rFonts w:ascii="Times New Roman" w:hAnsi="Times New Roman"/>
              </w:rPr>
              <w:t>=25.50</w:t>
            </w:r>
          </w:p>
        </w:tc>
        <w:tc>
          <w:tcPr>
            <w:tcW w:w="1134" w:type="dxa"/>
            <w:tcBorders>
              <w:top w:val="single" w:sz="4" w:space="0" w:color="000000" w:themeColor="text1"/>
            </w:tcBorders>
          </w:tcPr>
          <w:p w:rsidR="001A2B59" w:rsidRPr="00AD2FF2" w:rsidRDefault="001A2B59">
            <w:pPr>
              <w:rPr>
                <w:b/>
              </w:rPr>
            </w:pPr>
            <w:r>
              <w:rPr>
                <w:rFonts w:ascii="Times New Roman" w:hAnsi="Times New Roman"/>
                <w:b/>
              </w:rPr>
              <w:t>&lt;0.0001</w:t>
            </w:r>
          </w:p>
        </w:tc>
      </w:tr>
      <w:tr w:rsidR="001A2B59" w:rsidRPr="00ED719B">
        <w:tc>
          <w:tcPr>
            <w:tcW w:w="1242" w:type="dxa"/>
            <w:vMerge/>
          </w:tcPr>
          <w:p w:rsidR="001A2B59" w:rsidRPr="00ED719B" w:rsidRDefault="001A2B59">
            <w:pPr>
              <w:rPr>
                <w:rFonts w:ascii="Times New Roman" w:hAnsi="Times New Roman"/>
                <w:sz w:val="22"/>
              </w:rPr>
            </w:pPr>
          </w:p>
        </w:tc>
        <w:tc>
          <w:tcPr>
            <w:tcW w:w="3828" w:type="dxa"/>
          </w:tcPr>
          <w:p w:rsidR="001A2B59" w:rsidRPr="00ED719B" w:rsidRDefault="001A2B59" w:rsidP="00F7204D">
            <w:pPr>
              <w:rPr>
                <w:rFonts w:ascii="Times New Roman" w:hAnsi="Times New Roman"/>
                <w:sz w:val="22"/>
              </w:rPr>
            </w:pPr>
            <w:r w:rsidRPr="00ED719B">
              <w:rPr>
                <w:rFonts w:ascii="Times New Roman" w:hAnsi="Times New Roman"/>
                <w:sz w:val="22"/>
              </w:rPr>
              <w:t>Linear-product-quadratic features, PCA predictors, MCP background extent</w:t>
            </w:r>
            <w:r w:rsidR="009910B9">
              <w:rPr>
                <w:rFonts w:ascii="Times New Roman" w:hAnsi="Times New Roman"/>
                <w:sz w:val="22"/>
              </w:rPr>
              <w:t xml:space="preserve"> (V2)</w:t>
            </w:r>
            <w:r w:rsidRPr="00ED719B">
              <w:rPr>
                <w:rFonts w:ascii="Times New Roman" w:hAnsi="Times New Roman"/>
                <w:sz w:val="22"/>
                <w:vertAlign w:val="superscript"/>
              </w:rPr>
              <w:t xml:space="preserve"> </w:t>
            </w:r>
            <w:r w:rsidR="009910B9">
              <w:rPr>
                <w:rFonts w:ascii="Times New Roman" w:hAnsi="Times New Roman"/>
                <w:sz w:val="22"/>
                <w:vertAlign w:val="superscript"/>
              </w:rPr>
              <w:t xml:space="preserve"> </w:t>
            </w:r>
          </w:p>
        </w:tc>
        <w:tc>
          <w:tcPr>
            <w:tcW w:w="1701" w:type="dxa"/>
          </w:tcPr>
          <w:p w:rsidR="001A2B59" w:rsidRPr="00ED719B" w:rsidRDefault="001A2B59" w:rsidP="00F7204D">
            <w:pPr>
              <w:rPr>
                <w:rFonts w:ascii="Times New Roman" w:hAnsi="Times New Roman"/>
                <w:sz w:val="22"/>
              </w:rPr>
            </w:pPr>
            <w:r>
              <w:rPr>
                <w:rFonts w:ascii="Times New Roman" w:hAnsi="Times New Roman"/>
                <w:sz w:val="22"/>
              </w:rPr>
              <w:t>-0.31 (0.059)</w:t>
            </w:r>
          </w:p>
        </w:tc>
        <w:tc>
          <w:tcPr>
            <w:tcW w:w="1559" w:type="dxa"/>
          </w:tcPr>
          <w:p w:rsidR="001A2B59" w:rsidRPr="00ED719B" w:rsidRDefault="001A2B59" w:rsidP="00F7204D">
            <w:pPr>
              <w:rPr>
                <w:rFonts w:ascii="Times New Roman" w:hAnsi="Times New Roman"/>
                <w:sz w:val="22"/>
              </w:rPr>
            </w:pPr>
            <w:r>
              <w:rPr>
                <w:rFonts w:ascii="Times New Roman" w:hAnsi="Times New Roman"/>
              </w:rPr>
              <w:t>LRT</w:t>
            </w:r>
            <w:r>
              <w:rPr>
                <w:rFonts w:ascii="Times New Roman" w:hAnsi="Times New Roman"/>
                <w:vertAlign w:val="subscript"/>
              </w:rPr>
              <w:t>4,3</w:t>
            </w:r>
            <w:r>
              <w:rPr>
                <w:rFonts w:ascii="Times New Roman" w:hAnsi="Times New Roman"/>
              </w:rPr>
              <w:t>=25.01</w:t>
            </w:r>
          </w:p>
        </w:tc>
        <w:tc>
          <w:tcPr>
            <w:tcW w:w="1134" w:type="dxa"/>
          </w:tcPr>
          <w:p w:rsidR="001A2B59" w:rsidRPr="00ED719B" w:rsidRDefault="001A2B59">
            <w:pPr>
              <w:rPr>
                <w:rFonts w:ascii="Times New Roman" w:hAnsi="Times New Roman"/>
                <w:b/>
                <w:sz w:val="22"/>
              </w:rPr>
            </w:pPr>
            <w:r>
              <w:rPr>
                <w:rFonts w:ascii="Times New Roman" w:hAnsi="Times New Roman"/>
                <w:b/>
              </w:rPr>
              <w:t>&lt;0.0001</w:t>
            </w:r>
          </w:p>
        </w:tc>
      </w:tr>
      <w:tr w:rsidR="001A2B59" w:rsidRPr="00ED719B">
        <w:tc>
          <w:tcPr>
            <w:tcW w:w="1242" w:type="dxa"/>
            <w:vMerge/>
          </w:tcPr>
          <w:p w:rsidR="001A2B59" w:rsidRPr="00ED719B" w:rsidRDefault="001A2B59">
            <w:pPr>
              <w:rPr>
                <w:rFonts w:ascii="Times New Roman" w:hAnsi="Times New Roman"/>
                <w:sz w:val="22"/>
              </w:rPr>
            </w:pPr>
          </w:p>
        </w:tc>
        <w:tc>
          <w:tcPr>
            <w:tcW w:w="3828" w:type="dxa"/>
          </w:tcPr>
          <w:p w:rsidR="001A2B59" w:rsidRPr="00ED719B" w:rsidRDefault="001A2B59" w:rsidP="00F7204D">
            <w:pPr>
              <w:rPr>
                <w:rFonts w:ascii="Times New Roman" w:hAnsi="Times New Roman"/>
                <w:sz w:val="22"/>
              </w:rPr>
            </w:pPr>
            <w:r w:rsidRPr="00ED719B">
              <w:rPr>
                <w:rFonts w:ascii="Times New Roman" w:hAnsi="Times New Roman"/>
                <w:sz w:val="22"/>
              </w:rPr>
              <w:t>Hinge features, PCA predictors, 200 km</w:t>
            </w:r>
            <w:r>
              <w:rPr>
                <w:rFonts w:ascii="Times New Roman" w:hAnsi="Times New Roman"/>
                <w:sz w:val="22"/>
              </w:rPr>
              <w:t xml:space="preserve"> rectangular background extent*</w:t>
            </w:r>
            <w:r w:rsidR="009910B9">
              <w:rPr>
                <w:rFonts w:ascii="Times New Roman" w:hAnsi="Times New Roman"/>
                <w:sz w:val="22"/>
              </w:rPr>
              <w:t xml:space="preserve"> (V3)</w:t>
            </w:r>
          </w:p>
        </w:tc>
        <w:tc>
          <w:tcPr>
            <w:tcW w:w="1701" w:type="dxa"/>
          </w:tcPr>
          <w:p w:rsidR="001A2B59" w:rsidRPr="00ED719B" w:rsidRDefault="001A2B59" w:rsidP="00F7204D">
            <w:pPr>
              <w:rPr>
                <w:rFonts w:ascii="Times New Roman" w:hAnsi="Times New Roman"/>
                <w:sz w:val="22"/>
              </w:rPr>
            </w:pPr>
            <w:r>
              <w:rPr>
                <w:rFonts w:ascii="Times New Roman" w:hAnsi="Times New Roman"/>
                <w:sz w:val="22"/>
              </w:rPr>
              <w:t>-0.38 (0.065)</w:t>
            </w:r>
          </w:p>
        </w:tc>
        <w:tc>
          <w:tcPr>
            <w:tcW w:w="1559" w:type="dxa"/>
          </w:tcPr>
          <w:p w:rsidR="001A2B59" w:rsidRPr="00ED719B" w:rsidRDefault="001A2B59" w:rsidP="00F7204D">
            <w:pPr>
              <w:rPr>
                <w:rFonts w:ascii="Times New Roman" w:hAnsi="Times New Roman"/>
                <w:sz w:val="22"/>
              </w:rPr>
            </w:pPr>
            <w:r>
              <w:rPr>
                <w:rFonts w:ascii="Times New Roman" w:hAnsi="Times New Roman"/>
              </w:rPr>
              <w:t>LRT</w:t>
            </w:r>
            <w:r>
              <w:rPr>
                <w:rFonts w:ascii="Times New Roman" w:hAnsi="Times New Roman"/>
                <w:vertAlign w:val="subscript"/>
              </w:rPr>
              <w:t>6,5</w:t>
            </w:r>
            <w:r>
              <w:rPr>
                <w:rFonts w:ascii="Times New Roman" w:hAnsi="Times New Roman"/>
              </w:rPr>
              <w:t>=31.91</w:t>
            </w:r>
          </w:p>
        </w:tc>
        <w:tc>
          <w:tcPr>
            <w:tcW w:w="1134" w:type="dxa"/>
          </w:tcPr>
          <w:p w:rsidR="001A2B59" w:rsidRPr="00ED719B" w:rsidRDefault="001A2B59">
            <w:pPr>
              <w:rPr>
                <w:rFonts w:ascii="Times New Roman" w:hAnsi="Times New Roman"/>
                <w:b/>
                <w:sz w:val="22"/>
              </w:rPr>
            </w:pPr>
            <w:r>
              <w:rPr>
                <w:rFonts w:ascii="Times New Roman" w:hAnsi="Times New Roman"/>
                <w:b/>
              </w:rPr>
              <w:t>&lt;0.0001</w:t>
            </w:r>
          </w:p>
        </w:tc>
      </w:tr>
      <w:tr w:rsidR="001A2B59" w:rsidRPr="00ED719B">
        <w:tc>
          <w:tcPr>
            <w:tcW w:w="1242" w:type="dxa"/>
            <w:vMerge/>
          </w:tcPr>
          <w:p w:rsidR="001A2B59" w:rsidRPr="00ED719B" w:rsidRDefault="001A2B59">
            <w:pPr>
              <w:rPr>
                <w:rFonts w:ascii="Times New Roman" w:hAnsi="Times New Roman"/>
                <w:sz w:val="22"/>
              </w:rPr>
            </w:pPr>
          </w:p>
        </w:tc>
        <w:tc>
          <w:tcPr>
            <w:tcW w:w="3828" w:type="dxa"/>
          </w:tcPr>
          <w:p w:rsidR="001A2B59" w:rsidRPr="00ED719B" w:rsidRDefault="001A2B59" w:rsidP="00F7204D">
            <w:pPr>
              <w:rPr>
                <w:rFonts w:ascii="Times New Roman" w:hAnsi="Times New Roman"/>
                <w:sz w:val="22"/>
              </w:rPr>
            </w:pPr>
            <w:r w:rsidRPr="00ED719B">
              <w:rPr>
                <w:rFonts w:ascii="Times New Roman" w:hAnsi="Times New Roman"/>
                <w:sz w:val="22"/>
              </w:rPr>
              <w:t xml:space="preserve">All features, all </w:t>
            </w:r>
            <w:proofErr w:type="spellStart"/>
            <w:r w:rsidRPr="00ED719B">
              <w:rPr>
                <w:rFonts w:ascii="Times New Roman" w:hAnsi="Times New Roman"/>
                <w:smallCaps/>
                <w:sz w:val="22"/>
              </w:rPr>
              <w:t>bioclim</w:t>
            </w:r>
            <w:proofErr w:type="spellEnd"/>
            <w:r w:rsidRPr="00ED719B">
              <w:rPr>
                <w:rFonts w:ascii="Times New Roman" w:hAnsi="Times New Roman"/>
                <w:smallCaps/>
                <w:sz w:val="22"/>
              </w:rPr>
              <w:t xml:space="preserve"> </w:t>
            </w:r>
            <w:r w:rsidRPr="00ED719B">
              <w:rPr>
                <w:rFonts w:ascii="Times New Roman" w:hAnsi="Times New Roman"/>
                <w:sz w:val="22"/>
              </w:rPr>
              <w:t xml:space="preserve">predictors, 200 km rectangular background extent </w:t>
            </w:r>
            <w:r w:rsidR="009910B9">
              <w:rPr>
                <w:rFonts w:ascii="Times New Roman" w:hAnsi="Times New Roman"/>
                <w:sz w:val="22"/>
              </w:rPr>
              <w:t>(V4)</w:t>
            </w:r>
          </w:p>
        </w:tc>
        <w:tc>
          <w:tcPr>
            <w:tcW w:w="1701" w:type="dxa"/>
          </w:tcPr>
          <w:p w:rsidR="001A2B59" w:rsidRPr="00ED719B" w:rsidRDefault="001A2B59" w:rsidP="00F7204D">
            <w:pPr>
              <w:rPr>
                <w:rFonts w:ascii="Times New Roman" w:hAnsi="Times New Roman"/>
                <w:sz w:val="22"/>
              </w:rPr>
            </w:pPr>
            <w:r>
              <w:rPr>
                <w:rFonts w:ascii="Times New Roman" w:hAnsi="Times New Roman"/>
                <w:sz w:val="22"/>
              </w:rPr>
              <w:t>-0.41 (0.081)</w:t>
            </w:r>
          </w:p>
        </w:tc>
        <w:tc>
          <w:tcPr>
            <w:tcW w:w="1559" w:type="dxa"/>
          </w:tcPr>
          <w:p w:rsidR="001A2B59" w:rsidRPr="00ED719B" w:rsidRDefault="001A2B59" w:rsidP="00F7204D">
            <w:pPr>
              <w:rPr>
                <w:rFonts w:ascii="Times New Roman" w:hAnsi="Times New Roman"/>
                <w:sz w:val="22"/>
              </w:rPr>
            </w:pPr>
            <w:r>
              <w:rPr>
                <w:rFonts w:ascii="Times New Roman" w:hAnsi="Times New Roman"/>
              </w:rPr>
              <w:t>LRT</w:t>
            </w:r>
            <w:r>
              <w:rPr>
                <w:rFonts w:ascii="Times New Roman" w:hAnsi="Times New Roman"/>
                <w:vertAlign w:val="subscript"/>
              </w:rPr>
              <w:t>4,3</w:t>
            </w:r>
            <w:r>
              <w:rPr>
                <w:rFonts w:ascii="Times New Roman" w:hAnsi="Times New Roman"/>
              </w:rPr>
              <w:t>=25.01</w:t>
            </w:r>
          </w:p>
        </w:tc>
        <w:tc>
          <w:tcPr>
            <w:tcW w:w="1134" w:type="dxa"/>
          </w:tcPr>
          <w:p w:rsidR="001A2B59" w:rsidRPr="00ED719B" w:rsidRDefault="001A2B59" w:rsidP="00F7204D">
            <w:pPr>
              <w:rPr>
                <w:rFonts w:ascii="Times New Roman" w:hAnsi="Times New Roman"/>
                <w:b/>
                <w:sz w:val="22"/>
              </w:rPr>
            </w:pPr>
            <w:r>
              <w:rPr>
                <w:rFonts w:ascii="Times New Roman" w:hAnsi="Times New Roman"/>
                <w:b/>
                <w:sz w:val="22"/>
              </w:rPr>
              <w:t>&lt;0.0001</w:t>
            </w:r>
          </w:p>
        </w:tc>
      </w:tr>
      <w:tr w:rsidR="001A2B59" w:rsidRPr="00ED719B">
        <w:tc>
          <w:tcPr>
            <w:tcW w:w="1242" w:type="dxa"/>
            <w:vMerge/>
          </w:tcPr>
          <w:p w:rsidR="001A2B59" w:rsidRPr="00ED719B" w:rsidRDefault="001A2B59">
            <w:pPr>
              <w:rPr>
                <w:rFonts w:ascii="Times New Roman" w:hAnsi="Times New Roman"/>
                <w:sz w:val="22"/>
              </w:rPr>
            </w:pPr>
          </w:p>
        </w:tc>
        <w:tc>
          <w:tcPr>
            <w:tcW w:w="3828" w:type="dxa"/>
          </w:tcPr>
          <w:p w:rsidR="001A2B59" w:rsidRPr="00ED719B" w:rsidRDefault="001A2B59" w:rsidP="00F7204D">
            <w:pPr>
              <w:rPr>
                <w:rFonts w:ascii="Times New Roman" w:hAnsi="Times New Roman"/>
                <w:sz w:val="22"/>
              </w:rPr>
            </w:pPr>
            <w:r w:rsidRPr="00ED719B">
              <w:rPr>
                <w:rFonts w:ascii="Times New Roman" w:hAnsi="Times New Roman"/>
                <w:sz w:val="22"/>
              </w:rPr>
              <w:t>Hinge features, PCA predictors, bu</w:t>
            </w:r>
            <w:r w:rsidR="009910B9">
              <w:rPr>
                <w:rFonts w:ascii="Times New Roman" w:hAnsi="Times New Roman"/>
                <w:sz w:val="22"/>
              </w:rPr>
              <w:t>ffered points background extent</w:t>
            </w:r>
            <w:r>
              <w:rPr>
                <w:rFonts w:ascii="Times New Roman" w:hAnsi="Times New Roman"/>
                <w:sz w:val="22"/>
              </w:rPr>
              <w:t>*</w:t>
            </w:r>
            <w:r w:rsidR="009910B9">
              <w:rPr>
                <w:rFonts w:ascii="Times New Roman" w:hAnsi="Times New Roman"/>
                <w:sz w:val="22"/>
              </w:rPr>
              <w:t xml:space="preserve"> (V5)</w:t>
            </w:r>
          </w:p>
        </w:tc>
        <w:tc>
          <w:tcPr>
            <w:tcW w:w="1701" w:type="dxa"/>
          </w:tcPr>
          <w:p w:rsidR="001A2B59" w:rsidRPr="00ED719B" w:rsidRDefault="001A2B59" w:rsidP="00F7204D">
            <w:pPr>
              <w:rPr>
                <w:rFonts w:ascii="Times New Roman" w:hAnsi="Times New Roman"/>
                <w:sz w:val="22"/>
              </w:rPr>
            </w:pPr>
            <w:r>
              <w:rPr>
                <w:rFonts w:ascii="Times New Roman" w:hAnsi="Times New Roman"/>
                <w:sz w:val="22"/>
              </w:rPr>
              <w:t>-0.38 (0.060)</w:t>
            </w:r>
          </w:p>
        </w:tc>
        <w:tc>
          <w:tcPr>
            <w:tcW w:w="1559" w:type="dxa"/>
          </w:tcPr>
          <w:p w:rsidR="001A2B59" w:rsidRPr="00ED719B" w:rsidRDefault="001A2B59" w:rsidP="00F7204D">
            <w:pPr>
              <w:rPr>
                <w:rFonts w:ascii="Times New Roman" w:hAnsi="Times New Roman"/>
                <w:sz w:val="22"/>
              </w:rPr>
            </w:pPr>
            <w:r>
              <w:rPr>
                <w:rFonts w:ascii="Times New Roman" w:hAnsi="Times New Roman"/>
              </w:rPr>
              <w:t>LRT</w:t>
            </w:r>
            <w:r>
              <w:rPr>
                <w:rFonts w:ascii="Times New Roman" w:hAnsi="Times New Roman"/>
                <w:vertAlign w:val="subscript"/>
              </w:rPr>
              <w:t>6,5</w:t>
            </w:r>
            <w:r>
              <w:rPr>
                <w:rFonts w:ascii="Times New Roman" w:hAnsi="Times New Roman"/>
              </w:rPr>
              <w:t>=36.73</w:t>
            </w:r>
          </w:p>
        </w:tc>
        <w:tc>
          <w:tcPr>
            <w:tcW w:w="1134" w:type="dxa"/>
          </w:tcPr>
          <w:p w:rsidR="001A2B59" w:rsidRPr="00ED719B" w:rsidRDefault="001A2B59" w:rsidP="00F7204D">
            <w:pPr>
              <w:rPr>
                <w:rFonts w:ascii="Times New Roman" w:hAnsi="Times New Roman"/>
                <w:b/>
                <w:sz w:val="22"/>
              </w:rPr>
            </w:pPr>
            <w:r>
              <w:rPr>
                <w:rFonts w:ascii="Times New Roman" w:hAnsi="Times New Roman"/>
                <w:b/>
                <w:sz w:val="22"/>
              </w:rPr>
              <w:t>&lt;0.0001</w:t>
            </w:r>
          </w:p>
        </w:tc>
      </w:tr>
      <w:tr w:rsidR="001A2B59" w:rsidRPr="00ED719B">
        <w:tc>
          <w:tcPr>
            <w:tcW w:w="1242" w:type="dxa"/>
            <w:vMerge/>
          </w:tcPr>
          <w:p w:rsidR="001A2B59" w:rsidRPr="00ED719B" w:rsidRDefault="001A2B59">
            <w:pPr>
              <w:rPr>
                <w:rFonts w:ascii="Times New Roman" w:hAnsi="Times New Roman"/>
                <w:sz w:val="22"/>
              </w:rPr>
            </w:pPr>
          </w:p>
        </w:tc>
        <w:tc>
          <w:tcPr>
            <w:tcW w:w="3828" w:type="dxa"/>
          </w:tcPr>
          <w:p w:rsidR="001A2B59" w:rsidRPr="00ED719B" w:rsidRDefault="001A2B59" w:rsidP="00F7204D">
            <w:pPr>
              <w:rPr>
                <w:rFonts w:ascii="Times New Roman" w:hAnsi="Times New Roman"/>
                <w:sz w:val="22"/>
              </w:rPr>
            </w:pPr>
            <w:r w:rsidRPr="00ED719B">
              <w:rPr>
                <w:rFonts w:ascii="Times New Roman" w:hAnsi="Times New Roman"/>
                <w:sz w:val="22"/>
              </w:rPr>
              <w:t>Linear-product-quadratic features, PCA predictors, buffered points background extent</w:t>
            </w:r>
            <w:r w:rsidR="009910B9">
              <w:rPr>
                <w:rFonts w:ascii="Times New Roman" w:hAnsi="Times New Roman"/>
                <w:sz w:val="22"/>
              </w:rPr>
              <w:t xml:space="preserve"> (V6)</w:t>
            </w:r>
            <w:r w:rsidRPr="00ED719B">
              <w:rPr>
                <w:rFonts w:ascii="Times New Roman" w:hAnsi="Times New Roman"/>
                <w:sz w:val="22"/>
                <w:vertAlign w:val="superscript"/>
              </w:rPr>
              <w:t xml:space="preserve"> </w:t>
            </w:r>
          </w:p>
        </w:tc>
        <w:tc>
          <w:tcPr>
            <w:tcW w:w="1701" w:type="dxa"/>
          </w:tcPr>
          <w:p w:rsidR="001A2B59" w:rsidRPr="00ED719B" w:rsidRDefault="001A2B59" w:rsidP="00F7204D">
            <w:pPr>
              <w:rPr>
                <w:rFonts w:ascii="Times New Roman" w:hAnsi="Times New Roman"/>
                <w:sz w:val="22"/>
              </w:rPr>
            </w:pPr>
            <w:r>
              <w:rPr>
                <w:rFonts w:ascii="Times New Roman" w:hAnsi="Times New Roman"/>
                <w:sz w:val="22"/>
              </w:rPr>
              <w:t>-0.34 (0.061)</w:t>
            </w:r>
          </w:p>
        </w:tc>
        <w:tc>
          <w:tcPr>
            <w:tcW w:w="1559" w:type="dxa"/>
          </w:tcPr>
          <w:p w:rsidR="001A2B59" w:rsidRPr="00ED719B" w:rsidRDefault="001A2B59" w:rsidP="00F7204D">
            <w:pPr>
              <w:rPr>
                <w:rFonts w:ascii="Times New Roman" w:hAnsi="Times New Roman"/>
                <w:sz w:val="22"/>
              </w:rPr>
            </w:pPr>
            <w:r>
              <w:rPr>
                <w:rFonts w:ascii="Times New Roman" w:hAnsi="Times New Roman"/>
              </w:rPr>
              <w:t>LRT</w:t>
            </w:r>
            <w:r>
              <w:rPr>
                <w:rFonts w:ascii="Times New Roman" w:hAnsi="Times New Roman"/>
                <w:vertAlign w:val="subscript"/>
              </w:rPr>
              <w:t>4,3</w:t>
            </w:r>
            <w:r>
              <w:rPr>
                <w:rFonts w:ascii="Times New Roman" w:hAnsi="Times New Roman"/>
              </w:rPr>
              <w:t>=28.94</w:t>
            </w:r>
          </w:p>
        </w:tc>
        <w:tc>
          <w:tcPr>
            <w:tcW w:w="1134" w:type="dxa"/>
          </w:tcPr>
          <w:p w:rsidR="001A2B59" w:rsidRPr="00ED719B" w:rsidRDefault="001A2B59" w:rsidP="00F7204D">
            <w:pPr>
              <w:rPr>
                <w:rFonts w:ascii="Times New Roman" w:hAnsi="Times New Roman"/>
                <w:b/>
                <w:sz w:val="22"/>
              </w:rPr>
            </w:pPr>
            <w:r>
              <w:rPr>
                <w:rFonts w:ascii="Times New Roman" w:hAnsi="Times New Roman"/>
                <w:b/>
                <w:sz w:val="22"/>
              </w:rPr>
              <w:t>&lt;0.0001</w:t>
            </w:r>
          </w:p>
        </w:tc>
      </w:tr>
      <w:tr w:rsidR="001A2B59" w:rsidRPr="00ED719B">
        <w:tc>
          <w:tcPr>
            <w:tcW w:w="1242" w:type="dxa"/>
            <w:vMerge w:val="restart"/>
            <w:tcBorders>
              <w:top w:val="single" w:sz="4" w:space="0" w:color="000000" w:themeColor="text1"/>
            </w:tcBorders>
          </w:tcPr>
          <w:p w:rsidR="001A2B59" w:rsidRDefault="001A2B59" w:rsidP="00F7204D">
            <w:pPr>
              <w:rPr>
                <w:rFonts w:ascii="Times New Roman" w:hAnsi="Times New Roman"/>
                <w:sz w:val="22"/>
              </w:rPr>
            </w:pPr>
            <w:r>
              <w:rPr>
                <w:rFonts w:ascii="Times New Roman" w:hAnsi="Times New Roman"/>
                <w:sz w:val="22"/>
              </w:rPr>
              <w:t>Horizontal</w:t>
            </w:r>
          </w:p>
          <w:p w:rsidR="001A2B59" w:rsidRPr="00ED719B" w:rsidRDefault="001A2B59" w:rsidP="00F7204D">
            <w:pPr>
              <w:rPr>
                <w:rFonts w:ascii="Times New Roman" w:hAnsi="Times New Roman"/>
                <w:sz w:val="22"/>
              </w:rPr>
            </w:pPr>
            <w:r>
              <w:rPr>
                <w:rFonts w:ascii="Times New Roman" w:hAnsi="Times New Roman"/>
                <w:sz w:val="22"/>
              </w:rPr>
              <w:t>(N = 25)</w:t>
            </w:r>
          </w:p>
        </w:tc>
        <w:tc>
          <w:tcPr>
            <w:tcW w:w="3828" w:type="dxa"/>
            <w:tcBorders>
              <w:top w:val="single" w:sz="4" w:space="0" w:color="000000" w:themeColor="text1"/>
            </w:tcBorders>
          </w:tcPr>
          <w:p w:rsidR="001A2B59" w:rsidRPr="00ED719B" w:rsidRDefault="001A2B59" w:rsidP="00F7204D">
            <w:pPr>
              <w:rPr>
                <w:rFonts w:ascii="Times New Roman" w:hAnsi="Times New Roman"/>
                <w:sz w:val="22"/>
              </w:rPr>
            </w:pPr>
            <w:r w:rsidRPr="00ED719B">
              <w:rPr>
                <w:rFonts w:ascii="Times New Roman" w:hAnsi="Times New Roman"/>
                <w:sz w:val="22"/>
              </w:rPr>
              <w:t>Hinge features, PCA predictors, MCP background extent</w:t>
            </w:r>
            <w:r w:rsidR="009910B9">
              <w:rPr>
                <w:rFonts w:ascii="Times New Roman" w:hAnsi="Times New Roman"/>
                <w:sz w:val="22"/>
              </w:rPr>
              <w:t xml:space="preserve"> (V1)</w:t>
            </w:r>
            <w:r w:rsidRPr="00ED719B">
              <w:rPr>
                <w:rFonts w:ascii="Times New Roman" w:hAnsi="Times New Roman"/>
                <w:sz w:val="22"/>
              </w:rPr>
              <w:t xml:space="preserve"> </w:t>
            </w:r>
          </w:p>
        </w:tc>
        <w:tc>
          <w:tcPr>
            <w:tcW w:w="1701" w:type="dxa"/>
            <w:tcBorders>
              <w:top w:val="single" w:sz="4" w:space="0" w:color="000000" w:themeColor="text1"/>
            </w:tcBorders>
          </w:tcPr>
          <w:p w:rsidR="001A2B59" w:rsidRPr="00ED719B" w:rsidRDefault="001A2B59" w:rsidP="00F7204D">
            <w:pPr>
              <w:rPr>
                <w:rFonts w:ascii="Times New Roman" w:hAnsi="Times New Roman"/>
                <w:sz w:val="22"/>
              </w:rPr>
            </w:pPr>
            <w:r>
              <w:t>-0.35 (0.063)</w:t>
            </w:r>
          </w:p>
        </w:tc>
        <w:tc>
          <w:tcPr>
            <w:tcW w:w="1559" w:type="dxa"/>
            <w:tcBorders>
              <w:top w:val="single" w:sz="4" w:space="0" w:color="000000" w:themeColor="text1"/>
            </w:tcBorders>
          </w:tcPr>
          <w:p w:rsidR="001A2B59" w:rsidRPr="00AD2FF2" w:rsidRDefault="001A2B59" w:rsidP="00F7204D">
            <w:r>
              <w:rPr>
                <w:rFonts w:ascii="Times New Roman" w:hAnsi="Times New Roman"/>
              </w:rPr>
              <w:t>LRT</w:t>
            </w:r>
            <w:r>
              <w:rPr>
                <w:rFonts w:ascii="Times New Roman" w:hAnsi="Times New Roman"/>
                <w:vertAlign w:val="subscript"/>
              </w:rPr>
              <w:t>4,3</w:t>
            </w:r>
            <w:r>
              <w:rPr>
                <w:rFonts w:ascii="Times New Roman" w:hAnsi="Times New Roman"/>
              </w:rPr>
              <w:t>=27.24</w:t>
            </w:r>
          </w:p>
        </w:tc>
        <w:tc>
          <w:tcPr>
            <w:tcW w:w="1134" w:type="dxa"/>
            <w:tcBorders>
              <w:top w:val="single" w:sz="4" w:space="0" w:color="000000" w:themeColor="text1"/>
            </w:tcBorders>
          </w:tcPr>
          <w:p w:rsidR="001A2B59" w:rsidRPr="00AD2FF2" w:rsidRDefault="001A2B59">
            <w:pPr>
              <w:rPr>
                <w:b/>
              </w:rPr>
            </w:pPr>
            <w:r>
              <w:rPr>
                <w:rFonts w:ascii="Times New Roman" w:hAnsi="Times New Roman"/>
                <w:b/>
              </w:rPr>
              <w:t>&lt;0.0001</w:t>
            </w:r>
          </w:p>
        </w:tc>
      </w:tr>
      <w:tr w:rsidR="001A2B59" w:rsidRPr="00ED719B">
        <w:tc>
          <w:tcPr>
            <w:tcW w:w="1242" w:type="dxa"/>
            <w:vMerge/>
          </w:tcPr>
          <w:p w:rsidR="001A2B59" w:rsidRPr="00ED719B" w:rsidRDefault="001A2B59">
            <w:pPr>
              <w:rPr>
                <w:rFonts w:ascii="Times New Roman" w:hAnsi="Times New Roman"/>
                <w:sz w:val="22"/>
              </w:rPr>
            </w:pPr>
          </w:p>
        </w:tc>
        <w:tc>
          <w:tcPr>
            <w:tcW w:w="3828" w:type="dxa"/>
          </w:tcPr>
          <w:p w:rsidR="001A2B59" w:rsidRPr="00ED719B" w:rsidRDefault="001A2B59" w:rsidP="00F7204D">
            <w:pPr>
              <w:rPr>
                <w:rFonts w:ascii="Times New Roman" w:hAnsi="Times New Roman"/>
                <w:sz w:val="22"/>
              </w:rPr>
            </w:pPr>
            <w:r w:rsidRPr="00ED719B">
              <w:rPr>
                <w:rFonts w:ascii="Times New Roman" w:hAnsi="Times New Roman"/>
                <w:sz w:val="22"/>
              </w:rPr>
              <w:t>Linear-product-quadratic features, PCA predictors, MCP background extent</w:t>
            </w:r>
            <w:r w:rsidR="009910B9">
              <w:rPr>
                <w:rFonts w:ascii="Times New Roman" w:hAnsi="Times New Roman"/>
                <w:sz w:val="22"/>
              </w:rPr>
              <w:t xml:space="preserve"> (V2)</w:t>
            </w:r>
            <w:r>
              <w:rPr>
                <w:rFonts w:ascii="Times New Roman" w:hAnsi="Times New Roman"/>
                <w:sz w:val="22"/>
                <w:vertAlign w:val="superscript"/>
              </w:rPr>
              <w:t xml:space="preserve"> </w:t>
            </w:r>
          </w:p>
        </w:tc>
        <w:tc>
          <w:tcPr>
            <w:tcW w:w="1701" w:type="dxa"/>
          </w:tcPr>
          <w:p w:rsidR="001A2B59" w:rsidRPr="00ED719B" w:rsidRDefault="001A2B59" w:rsidP="00F7204D">
            <w:pPr>
              <w:rPr>
                <w:rFonts w:ascii="Times New Roman" w:hAnsi="Times New Roman"/>
                <w:sz w:val="22"/>
              </w:rPr>
            </w:pPr>
            <w:r>
              <w:rPr>
                <w:rFonts w:ascii="Times New Roman" w:hAnsi="Times New Roman"/>
                <w:sz w:val="22"/>
              </w:rPr>
              <w:t>-0.44 (0.078)</w:t>
            </w:r>
          </w:p>
        </w:tc>
        <w:tc>
          <w:tcPr>
            <w:tcW w:w="1559" w:type="dxa"/>
          </w:tcPr>
          <w:p w:rsidR="001A2B59" w:rsidRPr="00ED719B" w:rsidRDefault="001A2B59" w:rsidP="00F7204D">
            <w:pPr>
              <w:rPr>
                <w:rFonts w:ascii="Times New Roman" w:hAnsi="Times New Roman"/>
                <w:sz w:val="22"/>
              </w:rPr>
            </w:pPr>
            <w:r>
              <w:rPr>
                <w:rFonts w:ascii="Times New Roman" w:hAnsi="Times New Roman"/>
              </w:rPr>
              <w:t>LRT</w:t>
            </w:r>
            <w:r>
              <w:rPr>
                <w:rFonts w:ascii="Times New Roman" w:hAnsi="Times New Roman"/>
                <w:vertAlign w:val="subscript"/>
              </w:rPr>
              <w:t>4,3</w:t>
            </w:r>
            <w:r>
              <w:rPr>
                <w:rFonts w:ascii="Times New Roman" w:hAnsi="Times New Roman"/>
              </w:rPr>
              <w:t>=27.83</w:t>
            </w:r>
          </w:p>
        </w:tc>
        <w:tc>
          <w:tcPr>
            <w:tcW w:w="1134" w:type="dxa"/>
          </w:tcPr>
          <w:p w:rsidR="001A2B59" w:rsidRPr="00ED719B" w:rsidRDefault="001A2B59">
            <w:pPr>
              <w:rPr>
                <w:rFonts w:ascii="Times New Roman" w:hAnsi="Times New Roman"/>
                <w:b/>
                <w:sz w:val="22"/>
              </w:rPr>
            </w:pPr>
            <w:r>
              <w:rPr>
                <w:rFonts w:ascii="Times New Roman" w:hAnsi="Times New Roman"/>
                <w:b/>
              </w:rPr>
              <w:t>&lt;0.0001</w:t>
            </w:r>
          </w:p>
        </w:tc>
      </w:tr>
      <w:tr w:rsidR="001A2B59" w:rsidRPr="00ED719B">
        <w:tc>
          <w:tcPr>
            <w:tcW w:w="1242" w:type="dxa"/>
            <w:vMerge/>
          </w:tcPr>
          <w:p w:rsidR="001A2B59" w:rsidRPr="00ED719B" w:rsidRDefault="001A2B59">
            <w:pPr>
              <w:rPr>
                <w:rFonts w:ascii="Times New Roman" w:hAnsi="Times New Roman"/>
                <w:sz w:val="22"/>
              </w:rPr>
            </w:pPr>
          </w:p>
        </w:tc>
        <w:tc>
          <w:tcPr>
            <w:tcW w:w="3828" w:type="dxa"/>
          </w:tcPr>
          <w:p w:rsidR="001A2B59" w:rsidRPr="00ED719B" w:rsidRDefault="001A2B59" w:rsidP="00F7204D">
            <w:pPr>
              <w:rPr>
                <w:rFonts w:ascii="Times New Roman" w:hAnsi="Times New Roman"/>
                <w:sz w:val="22"/>
              </w:rPr>
            </w:pPr>
            <w:r w:rsidRPr="00ED719B">
              <w:rPr>
                <w:rFonts w:ascii="Times New Roman" w:hAnsi="Times New Roman"/>
                <w:sz w:val="22"/>
              </w:rPr>
              <w:t>Hinge features, PCA predictors, 200 km rectangular background extent</w:t>
            </w:r>
            <w:r w:rsidR="009910B9">
              <w:rPr>
                <w:rFonts w:ascii="Times New Roman" w:hAnsi="Times New Roman"/>
                <w:sz w:val="22"/>
              </w:rPr>
              <w:t xml:space="preserve"> (V3)</w:t>
            </w:r>
            <w:r w:rsidRPr="00ED719B">
              <w:rPr>
                <w:rFonts w:ascii="Times New Roman" w:hAnsi="Times New Roman"/>
                <w:sz w:val="22"/>
              </w:rPr>
              <w:t xml:space="preserve"> </w:t>
            </w:r>
          </w:p>
        </w:tc>
        <w:tc>
          <w:tcPr>
            <w:tcW w:w="1701" w:type="dxa"/>
          </w:tcPr>
          <w:p w:rsidR="001A2B59" w:rsidRPr="00ED719B" w:rsidRDefault="001A2B59" w:rsidP="00F7204D">
            <w:pPr>
              <w:rPr>
                <w:rFonts w:ascii="Times New Roman" w:hAnsi="Times New Roman"/>
                <w:sz w:val="22"/>
              </w:rPr>
            </w:pPr>
            <w:r>
              <w:rPr>
                <w:rFonts w:ascii="Times New Roman" w:hAnsi="Times New Roman"/>
                <w:sz w:val="22"/>
              </w:rPr>
              <w:t>-0.46 (0.086)</w:t>
            </w:r>
          </w:p>
        </w:tc>
        <w:tc>
          <w:tcPr>
            <w:tcW w:w="1559" w:type="dxa"/>
          </w:tcPr>
          <w:p w:rsidR="001A2B59" w:rsidRPr="00ED719B" w:rsidRDefault="001A2B59" w:rsidP="00F7204D">
            <w:pPr>
              <w:rPr>
                <w:rFonts w:ascii="Times New Roman" w:hAnsi="Times New Roman"/>
                <w:sz w:val="22"/>
              </w:rPr>
            </w:pPr>
            <w:r>
              <w:rPr>
                <w:rFonts w:ascii="Times New Roman" w:hAnsi="Times New Roman"/>
              </w:rPr>
              <w:t>LRT</w:t>
            </w:r>
            <w:r>
              <w:rPr>
                <w:rFonts w:ascii="Times New Roman" w:hAnsi="Times New Roman"/>
                <w:vertAlign w:val="subscript"/>
              </w:rPr>
              <w:t>4,3</w:t>
            </w:r>
            <w:r>
              <w:rPr>
                <w:rFonts w:ascii="Times New Roman" w:hAnsi="Times New Roman"/>
              </w:rPr>
              <w:t>=25.40</w:t>
            </w:r>
          </w:p>
        </w:tc>
        <w:tc>
          <w:tcPr>
            <w:tcW w:w="1134" w:type="dxa"/>
          </w:tcPr>
          <w:p w:rsidR="001A2B59" w:rsidRPr="00ED719B" w:rsidRDefault="001A2B59">
            <w:pPr>
              <w:rPr>
                <w:rFonts w:ascii="Times New Roman" w:hAnsi="Times New Roman"/>
                <w:b/>
                <w:sz w:val="22"/>
              </w:rPr>
            </w:pPr>
            <w:r>
              <w:rPr>
                <w:rFonts w:ascii="Times New Roman" w:hAnsi="Times New Roman"/>
                <w:b/>
              </w:rPr>
              <w:t>&lt;0.0001</w:t>
            </w:r>
          </w:p>
        </w:tc>
      </w:tr>
      <w:tr w:rsidR="001A2B59" w:rsidRPr="00ED719B">
        <w:tc>
          <w:tcPr>
            <w:tcW w:w="1242" w:type="dxa"/>
            <w:vMerge/>
          </w:tcPr>
          <w:p w:rsidR="001A2B59" w:rsidRPr="00ED719B" w:rsidRDefault="001A2B59">
            <w:pPr>
              <w:rPr>
                <w:rFonts w:ascii="Times New Roman" w:hAnsi="Times New Roman"/>
                <w:sz w:val="22"/>
              </w:rPr>
            </w:pPr>
          </w:p>
        </w:tc>
        <w:tc>
          <w:tcPr>
            <w:tcW w:w="3828" w:type="dxa"/>
          </w:tcPr>
          <w:p w:rsidR="001A2B59" w:rsidRPr="00ED719B" w:rsidRDefault="001A2B59" w:rsidP="00F7204D">
            <w:pPr>
              <w:rPr>
                <w:rFonts w:ascii="Times New Roman" w:hAnsi="Times New Roman"/>
                <w:sz w:val="22"/>
              </w:rPr>
            </w:pPr>
            <w:r w:rsidRPr="00ED719B">
              <w:rPr>
                <w:rFonts w:ascii="Times New Roman" w:hAnsi="Times New Roman"/>
                <w:sz w:val="22"/>
              </w:rPr>
              <w:t xml:space="preserve">All features, all </w:t>
            </w:r>
            <w:proofErr w:type="spellStart"/>
            <w:r w:rsidRPr="00ED719B">
              <w:rPr>
                <w:rFonts w:ascii="Times New Roman" w:hAnsi="Times New Roman"/>
                <w:smallCaps/>
                <w:sz w:val="22"/>
              </w:rPr>
              <w:t>bioclim</w:t>
            </w:r>
            <w:proofErr w:type="spellEnd"/>
            <w:r w:rsidRPr="00ED719B">
              <w:rPr>
                <w:rFonts w:ascii="Times New Roman" w:hAnsi="Times New Roman"/>
                <w:smallCaps/>
                <w:sz w:val="22"/>
              </w:rPr>
              <w:t xml:space="preserve"> </w:t>
            </w:r>
            <w:r w:rsidRPr="00ED719B">
              <w:rPr>
                <w:rFonts w:ascii="Times New Roman" w:hAnsi="Times New Roman"/>
                <w:sz w:val="22"/>
              </w:rPr>
              <w:t xml:space="preserve">predictors, 200 km rectangular background extent </w:t>
            </w:r>
            <w:r w:rsidR="009910B9">
              <w:rPr>
                <w:rFonts w:ascii="Times New Roman" w:hAnsi="Times New Roman"/>
                <w:sz w:val="22"/>
              </w:rPr>
              <w:t>(V4)</w:t>
            </w:r>
          </w:p>
        </w:tc>
        <w:tc>
          <w:tcPr>
            <w:tcW w:w="1701" w:type="dxa"/>
          </w:tcPr>
          <w:p w:rsidR="001A2B59" w:rsidRPr="00ED719B" w:rsidRDefault="001A2B59" w:rsidP="00F7204D">
            <w:pPr>
              <w:rPr>
                <w:rFonts w:ascii="Times New Roman" w:hAnsi="Times New Roman"/>
                <w:sz w:val="22"/>
              </w:rPr>
            </w:pPr>
            <w:r>
              <w:rPr>
                <w:rFonts w:ascii="Times New Roman" w:hAnsi="Times New Roman"/>
                <w:sz w:val="22"/>
              </w:rPr>
              <w:t>-0.48 (0.11)</w:t>
            </w:r>
          </w:p>
        </w:tc>
        <w:tc>
          <w:tcPr>
            <w:tcW w:w="1559" w:type="dxa"/>
          </w:tcPr>
          <w:p w:rsidR="001A2B59" w:rsidRPr="00ED719B" w:rsidRDefault="001A2B59" w:rsidP="00F7204D">
            <w:pPr>
              <w:rPr>
                <w:rFonts w:ascii="Times New Roman" w:hAnsi="Times New Roman"/>
                <w:sz w:val="22"/>
              </w:rPr>
            </w:pPr>
            <w:r>
              <w:rPr>
                <w:rFonts w:ascii="Times New Roman" w:hAnsi="Times New Roman"/>
              </w:rPr>
              <w:t>LRT</w:t>
            </w:r>
            <w:r>
              <w:rPr>
                <w:rFonts w:ascii="Times New Roman" w:hAnsi="Times New Roman"/>
                <w:vertAlign w:val="subscript"/>
              </w:rPr>
              <w:t>4,3</w:t>
            </w:r>
            <w:r>
              <w:rPr>
                <w:rFonts w:ascii="Times New Roman" w:hAnsi="Times New Roman"/>
              </w:rPr>
              <w:t>=16.89</w:t>
            </w:r>
          </w:p>
        </w:tc>
        <w:tc>
          <w:tcPr>
            <w:tcW w:w="1134" w:type="dxa"/>
          </w:tcPr>
          <w:p w:rsidR="001A2B59" w:rsidRPr="00ED719B" w:rsidRDefault="001A2B59">
            <w:pPr>
              <w:rPr>
                <w:rFonts w:ascii="Times New Roman" w:hAnsi="Times New Roman"/>
                <w:b/>
                <w:sz w:val="22"/>
              </w:rPr>
            </w:pPr>
            <w:r>
              <w:rPr>
                <w:rFonts w:ascii="Times New Roman" w:hAnsi="Times New Roman"/>
                <w:b/>
              </w:rPr>
              <w:t>&lt;0.0001</w:t>
            </w:r>
          </w:p>
        </w:tc>
      </w:tr>
      <w:tr w:rsidR="001A2B59" w:rsidRPr="00ED719B">
        <w:tc>
          <w:tcPr>
            <w:tcW w:w="1242" w:type="dxa"/>
            <w:vMerge/>
          </w:tcPr>
          <w:p w:rsidR="001A2B59" w:rsidRPr="00ED719B" w:rsidRDefault="001A2B59">
            <w:pPr>
              <w:rPr>
                <w:rFonts w:ascii="Times New Roman" w:hAnsi="Times New Roman"/>
                <w:sz w:val="22"/>
              </w:rPr>
            </w:pPr>
          </w:p>
        </w:tc>
        <w:tc>
          <w:tcPr>
            <w:tcW w:w="3828" w:type="dxa"/>
          </w:tcPr>
          <w:p w:rsidR="001A2B59" w:rsidRPr="00ED719B" w:rsidRDefault="001A2B59" w:rsidP="00F7204D">
            <w:pPr>
              <w:rPr>
                <w:rFonts w:ascii="Times New Roman" w:hAnsi="Times New Roman"/>
                <w:sz w:val="22"/>
              </w:rPr>
            </w:pPr>
            <w:r w:rsidRPr="00ED719B">
              <w:rPr>
                <w:rFonts w:ascii="Times New Roman" w:hAnsi="Times New Roman"/>
                <w:sz w:val="22"/>
              </w:rPr>
              <w:t>Hinge features, PCA predictors, buffered points background extent</w:t>
            </w:r>
            <w:r>
              <w:rPr>
                <w:rFonts w:ascii="Times New Roman" w:hAnsi="Times New Roman"/>
                <w:sz w:val="22"/>
              </w:rPr>
              <w:t>*</w:t>
            </w:r>
            <w:r w:rsidR="009910B9">
              <w:rPr>
                <w:rFonts w:ascii="Times New Roman" w:hAnsi="Times New Roman"/>
                <w:sz w:val="22"/>
              </w:rPr>
              <w:t xml:space="preserve"> (V5)</w:t>
            </w:r>
            <w:r w:rsidRPr="00ED719B">
              <w:rPr>
                <w:rFonts w:ascii="Times New Roman" w:hAnsi="Times New Roman"/>
                <w:sz w:val="22"/>
              </w:rPr>
              <w:t xml:space="preserve"> </w:t>
            </w:r>
          </w:p>
        </w:tc>
        <w:tc>
          <w:tcPr>
            <w:tcW w:w="1701" w:type="dxa"/>
          </w:tcPr>
          <w:p w:rsidR="001A2B59" w:rsidRPr="00ED719B" w:rsidRDefault="001A2B59" w:rsidP="00F7204D">
            <w:pPr>
              <w:rPr>
                <w:rFonts w:ascii="Times New Roman" w:hAnsi="Times New Roman"/>
                <w:sz w:val="22"/>
              </w:rPr>
            </w:pPr>
            <w:r>
              <w:rPr>
                <w:rFonts w:ascii="Times New Roman" w:hAnsi="Times New Roman"/>
                <w:sz w:val="22"/>
              </w:rPr>
              <w:t>-0.48 (0.078)</w:t>
            </w:r>
          </w:p>
        </w:tc>
        <w:tc>
          <w:tcPr>
            <w:tcW w:w="1559" w:type="dxa"/>
          </w:tcPr>
          <w:p w:rsidR="001A2B59" w:rsidRPr="00ED719B" w:rsidRDefault="001A2B59" w:rsidP="00F7204D">
            <w:pPr>
              <w:rPr>
                <w:rFonts w:ascii="Times New Roman" w:hAnsi="Times New Roman"/>
                <w:sz w:val="22"/>
              </w:rPr>
            </w:pPr>
            <w:r>
              <w:rPr>
                <w:rFonts w:ascii="Times New Roman" w:hAnsi="Times New Roman"/>
              </w:rPr>
              <w:t>LRT</w:t>
            </w:r>
            <w:r>
              <w:rPr>
                <w:rFonts w:ascii="Times New Roman" w:hAnsi="Times New Roman"/>
                <w:vertAlign w:val="subscript"/>
              </w:rPr>
              <w:t>5,4</w:t>
            </w:r>
            <w:r>
              <w:rPr>
                <w:rFonts w:ascii="Times New Roman" w:hAnsi="Times New Roman"/>
              </w:rPr>
              <w:t>=32.14</w:t>
            </w:r>
          </w:p>
        </w:tc>
        <w:tc>
          <w:tcPr>
            <w:tcW w:w="1134" w:type="dxa"/>
          </w:tcPr>
          <w:p w:rsidR="001A2B59" w:rsidRPr="00ED719B" w:rsidRDefault="001A2B59">
            <w:pPr>
              <w:rPr>
                <w:rFonts w:ascii="Times New Roman" w:hAnsi="Times New Roman"/>
                <w:b/>
                <w:sz w:val="22"/>
              </w:rPr>
            </w:pPr>
            <w:r>
              <w:rPr>
                <w:rFonts w:ascii="Times New Roman" w:hAnsi="Times New Roman"/>
                <w:b/>
              </w:rPr>
              <w:t>&lt;0.0001</w:t>
            </w:r>
          </w:p>
        </w:tc>
      </w:tr>
      <w:tr w:rsidR="001A2B59" w:rsidRPr="00ED719B">
        <w:tc>
          <w:tcPr>
            <w:tcW w:w="1242" w:type="dxa"/>
            <w:vMerge/>
            <w:tcBorders>
              <w:bottom w:val="single" w:sz="4" w:space="0" w:color="000000" w:themeColor="text1"/>
            </w:tcBorders>
          </w:tcPr>
          <w:p w:rsidR="001A2B59" w:rsidRPr="00ED719B" w:rsidRDefault="001A2B59">
            <w:pPr>
              <w:rPr>
                <w:rFonts w:ascii="Times New Roman" w:hAnsi="Times New Roman"/>
                <w:sz w:val="22"/>
              </w:rPr>
            </w:pPr>
          </w:p>
        </w:tc>
        <w:tc>
          <w:tcPr>
            <w:tcW w:w="3828" w:type="dxa"/>
            <w:tcBorders>
              <w:bottom w:val="single" w:sz="4" w:space="0" w:color="000000" w:themeColor="text1"/>
            </w:tcBorders>
          </w:tcPr>
          <w:p w:rsidR="001A2B59" w:rsidRPr="00ED719B" w:rsidRDefault="001A2B59" w:rsidP="00F7204D">
            <w:pPr>
              <w:rPr>
                <w:rFonts w:ascii="Times New Roman" w:hAnsi="Times New Roman"/>
                <w:sz w:val="22"/>
              </w:rPr>
            </w:pPr>
            <w:r w:rsidRPr="00ED719B">
              <w:rPr>
                <w:rFonts w:ascii="Times New Roman" w:hAnsi="Times New Roman"/>
                <w:sz w:val="22"/>
              </w:rPr>
              <w:t>Linear-product-quadratic features, PCA predictors, buffered points background extent</w:t>
            </w:r>
            <w:r w:rsidR="009910B9">
              <w:rPr>
                <w:rFonts w:ascii="Times New Roman" w:hAnsi="Times New Roman"/>
                <w:sz w:val="22"/>
              </w:rPr>
              <w:t xml:space="preserve"> (V6)</w:t>
            </w:r>
            <w:r w:rsidRPr="00ED719B">
              <w:rPr>
                <w:rFonts w:ascii="Times New Roman" w:hAnsi="Times New Roman"/>
                <w:sz w:val="22"/>
                <w:vertAlign w:val="superscript"/>
              </w:rPr>
              <w:t xml:space="preserve"> </w:t>
            </w:r>
          </w:p>
        </w:tc>
        <w:tc>
          <w:tcPr>
            <w:tcW w:w="1701" w:type="dxa"/>
            <w:tcBorders>
              <w:bottom w:val="single" w:sz="4" w:space="0" w:color="000000" w:themeColor="text1"/>
            </w:tcBorders>
          </w:tcPr>
          <w:p w:rsidR="001A2B59" w:rsidRPr="00ED719B" w:rsidRDefault="001A2B59" w:rsidP="00F7204D">
            <w:pPr>
              <w:rPr>
                <w:rFonts w:ascii="Times New Roman" w:hAnsi="Times New Roman"/>
                <w:sz w:val="22"/>
              </w:rPr>
            </w:pPr>
            <w:r>
              <w:rPr>
                <w:rFonts w:ascii="Times New Roman" w:hAnsi="Times New Roman"/>
                <w:sz w:val="22"/>
              </w:rPr>
              <w:t>-0.50 (0.087)</w:t>
            </w:r>
          </w:p>
        </w:tc>
        <w:tc>
          <w:tcPr>
            <w:tcW w:w="1559" w:type="dxa"/>
            <w:tcBorders>
              <w:bottom w:val="single" w:sz="4" w:space="0" w:color="000000" w:themeColor="text1"/>
            </w:tcBorders>
          </w:tcPr>
          <w:p w:rsidR="001A2B59" w:rsidRPr="00ED719B" w:rsidRDefault="001A2B59" w:rsidP="00F7204D">
            <w:pPr>
              <w:rPr>
                <w:rFonts w:ascii="Times New Roman" w:hAnsi="Times New Roman"/>
                <w:sz w:val="22"/>
              </w:rPr>
            </w:pPr>
            <w:r>
              <w:rPr>
                <w:rFonts w:ascii="Times New Roman" w:hAnsi="Times New Roman"/>
              </w:rPr>
              <w:t>LRT</w:t>
            </w:r>
            <w:r>
              <w:rPr>
                <w:rFonts w:ascii="Times New Roman" w:hAnsi="Times New Roman"/>
                <w:vertAlign w:val="subscript"/>
              </w:rPr>
              <w:t>4,3</w:t>
            </w:r>
            <w:r>
              <w:rPr>
                <w:rFonts w:ascii="Times New Roman" w:hAnsi="Times New Roman"/>
              </w:rPr>
              <w:t>=29.00</w:t>
            </w:r>
          </w:p>
        </w:tc>
        <w:tc>
          <w:tcPr>
            <w:tcW w:w="1134" w:type="dxa"/>
            <w:tcBorders>
              <w:bottom w:val="single" w:sz="4" w:space="0" w:color="000000" w:themeColor="text1"/>
            </w:tcBorders>
          </w:tcPr>
          <w:p w:rsidR="001A2B59" w:rsidRPr="00ED719B" w:rsidRDefault="001A2B59">
            <w:pPr>
              <w:rPr>
                <w:rFonts w:ascii="Times New Roman" w:hAnsi="Times New Roman"/>
                <w:b/>
                <w:sz w:val="22"/>
              </w:rPr>
            </w:pPr>
            <w:r>
              <w:rPr>
                <w:rFonts w:ascii="Times New Roman" w:hAnsi="Times New Roman"/>
                <w:b/>
              </w:rPr>
              <w:t>&lt;0.0001</w:t>
            </w:r>
          </w:p>
        </w:tc>
      </w:tr>
      <w:tr w:rsidR="001A2B59" w:rsidRPr="00ED719B">
        <w:tc>
          <w:tcPr>
            <w:tcW w:w="1242" w:type="dxa"/>
            <w:vMerge w:val="restart"/>
            <w:tcBorders>
              <w:top w:val="single" w:sz="4" w:space="0" w:color="000000" w:themeColor="text1"/>
            </w:tcBorders>
          </w:tcPr>
          <w:p w:rsidR="001A2B59" w:rsidRDefault="001A2B59" w:rsidP="00F7204D">
            <w:pPr>
              <w:rPr>
                <w:rFonts w:ascii="Times New Roman" w:hAnsi="Times New Roman"/>
                <w:sz w:val="22"/>
              </w:rPr>
            </w:pPr>
            <w:r>
              <w:rPr>
                <w:rFonts w:ascii="Times New Roman" w:hAnsi="Times New Roman"/>
                <w:sz w:val="22"/>
              </w:rPr>
              <w:t>Vertical</w:t>
            </w:r>
          </w:p>
          <w:p w:rsidR="001A2B59" w:rsidRPr="00ED719B" w:rsidRDefault="001A2B59" w:rsidP="00F7204D">
            <w:pPr>
              <w:rPr>
                <w:rFonts w:ascii="Times New Roman" w:hAnsi="Times New Roman"/>
                <w:sz w:val="22"/>
              </w:rPr>
            </w:pPr>
            <w:r>
              <w:rPr>
                <w:rFonts w:ascii="Times New Roman" w:hAnsi="Times New Roman"/>
                <w:sz w:val="22"/>
              </w:rPr>
              <w:t>(N = 19)</w:t>
            </w:r>
          </w:p>
        </w:tc>
        <w:tc>
          <w:tcPr>
            <w:tcW w:w="3828" w:type="dxa"/>
            <w:tcBorders>
              <w:top w:val="single" w:sz="4" w:space="0" w:color="000000" w:themeColor="text1"/>
            </w:tcBorders>
          </w:tcPr>
          <w:p w:rsidR="001A2B59" w:rsidRPr="00ED719B" w:rsidRDefault="001A2B59" w:rsidP="00F7204D">
            <w:pPr>
              <w:rPr>
                <w:rFonts w:ascii="Times New Roman" w:hAnsi="Times New Roman"/>
                <w:sz w:val="22"/>
              </w:rPr>
            </w:pPr>
            <w:r w:rsidRPr="00ED719B">
              <w:rPr>
                <w:rFonts w:ascii="Times New Roman" w:hAnsi="Times New Roman"/>
                <w:sz w:val="22"/>
              </w:rPr>
              <w:t xml:space="preserve">Hinge features, PCA predictors, MCP background extent </w:t>
            </w:r>
            <w:r w:rsidR="009910B9">
              <w:rPr>
                <w:rFonts w:ascii="Times New Roman" w:hAnsi="Times New Roman"/>
                <w:sz w:val="22"/>
              </w:rPr>
              <w:t>(V1)</w:t>
            </w:r>
          </w:p>
        </w:tc>
        <w:tc>
          <w:tcPr>
            <w:tcW w:w="1701" w:type="dxa"/>
            <w:tcBorders>
              <w:top w:val="single" w:sz="4" w:space="0" w:color="000000" w:themeColor="text1"/>
            </w:tcBorders>
          </w:tcPr>
          <w:p w:rsidR="001A2B59" w:rsidRPr="00ED719B" w:rsidRDefault="001A2B59" w:rsidP="00F7204D">
            <w:pPr>
              <w:rPr>
                <w:rFonts w:ascii="Times New Roman" w:hAnsi="Times New Roman"/>
                <w:sz w:val="22"/>
              </w:rPr>
            </w:pPr>
            <w:r>
              <w:t>-0.22 (0.053)</w:t>
            </w:r>
          </w:p>
        </w:tc>
        <w:tc>
          <w:tcPr>
            <w:tcW w:w="1559" w:type="dxa"/>
            <w:tcBorders>
              <w:top w:val="single" w:sz="4" w:space="0" w:color="000000" w:themeColor="text1"/>
            </w:tcBorders>
          </w:tcPr>
          <w:p w:rsidR="001A2B59" w:rsidRPr="00AD2FF2" w:rsidRDefault="001A2B59" w:rsidP="00F7204D">
            <w:r>
              <w:rPr>
                <w:rFonts w:ascii="Times New Roman" w:hAnsi="Times New Roman"/>
              </w:rPr>
              <w:t>LRT</w:t>
            </w:r>
            <w:r>
              <w:rPr>
                <w:rFonts w:ascii="Times New Roman" w:hAnsi="Times New Roman"/>
                <w:vertAlign w:val="subscript"/>
              </w:rPr>
              <w:t>4,3</w:t>
            </w:r>
            <w:r>
              <w:rPr>
                <w:rFonts w:ascii="Times New Roman" w:hAnsi="Times New Roman"/>
              </w:rPr>
              <w:t>=16.70</w:t>
            </w:r>
          </w:p>
        </w:tc>
        <w:tc>
          <w:tcPr>
            <w:tcW w:w="1134" w:type="dxa"/>
            <w:tcBorders>
              <w:top w:val="single" w:sz="4" w:space="0" w:color="000000" w:themeColor="text1"/>
            </w:tcBorders>
          </w:tcPr>
          <w:p w:rsidR="001A2B59" w:rsidRPr="00AD2FF2" w:rsidRDefault="001A2B59" w:rsidP="00F7204D">
            <w:pPr>
              <w:rPr>
                <w:b/>
              </w:rPr>
            </w:pPr>
            <w:r>
              <w:rPr>
                <w:rFonts w:ascii="Times New Roman" w:hAnsi="Times New Roman"/>
                <w:b/>
              </w:rPr>
              <w:t>&lt;0.0001</w:t>
            </w:r>
          </w:p>
        </w:tc>
      </w:tr>
      <w:tr w:rsidR="001A2B59" w:rsidRPr="00ED719B">
        <w:tc>
          <w:tcPr>
            <w:tcW w:w="1242" w:type="dxa"/>
            <w:vMerge/>
          </w:tcPr>
          <w:p w:rsidR="001A2B59" w:rsidRPr="00ED719B" w:rsidRDefault="001A2B59" w:rsidP="00F7204D">
            <w:pPr>
              <w:rPr>
                <w:rFonts w:ascii="Times New Roman" w:hAnsi="Times New Roman"/>
                <w:sz w:val="22"/>
              </w:rPr>
            </w:pPr>
          </w:p>
        </w:tc>
        <w:tc>
          <w:tcPr>
            <w:tcW w:w="3828" w:type="dxa"/>
          </w:tcPr>
          <w:p w:rsidR="001A2B59" w:rsidRPr="00ED719B" w:rsidRDefault="001A2B59" w:rsidP="00F7204D">
            <w:pPr>
              <w:rPr>
                <w:rFonts w:ascii="Times New Roman" w:hAnsi="Times New Roman"/>
                <w:sz w:val="22"/>
              </w:rPr>
            </w:pPr>
            <w:r w:rsidRPr="00ED719B">
              <w:rPr>
                <w:rFonts w:ascii="Times New Roman" w:hAnsi="Times New Roman"/>
                <w:sz w:val="22"/>
              </w:rPr>
              <w:t>Linear-product-quadratic features, PCA predictors, MCP background extent</w:t>
            </w:r>
            <w:r w:rsidR="009910B9">
              <w:rPr>
                <w:rFonts w:ascii="Times New Roman" w:hAnsi="Times New Roman"/>
                <w:sz w:val="22"/>
              </w:rPr>
              <w:t xml:space="preserve"> (V2)</w:t>
            </w:r>
            <w:r w:rsidRPr="00ED719B">
              <w:rPr>
                <w:rFonts w:ascii="Times New Roman" w:hAnsi="Times New Roman"/>
                <w:sz w:val="22"/>
                <w:vertAlign w:val="superscript"/>
              </w:rPr>
              <w:t xml:space="preserve"> </w:t>
            </w:r>
          </w:p>
        </w:tc>
        <w:tc>
          <w:tcPr>
            <w:tcW w:w="1701" w:type="dxa"/>
          </w:tcPr>
          <w:p w:rsidR="001A2B59" w:rsidRPr="00ED719B" w:rsidRDefault="001A2B59" w:rsidP="00F7204D">
            <w:pPr>
              <w:rPr>
                <w:rFonts w:ascii="Times New Roman" w:hAnsi="Times New Roman"/>
                <w:sz w:val="22"/>
              </w:rPr>
            </w:pPr>
            <w:r>
              <w:t>-0.14 (0.046)</w:t>
            </w:r>
          </w:p>
        </w:tc>
        <w:tc>
          <w:tcPr>
            <w:tcW w:w="1559" w:type="dxa"/>
          </w:tcPr>
          <w:p w:rsidR="001A2B59" w:rsidRPr="00AD2FF2" w:rsidRDefault="001A2B59" w:rsidP="00F7204D">
            <w:r>
              <w:rPr>
                <w:rFonts w:ascii="Times New Roman" w:hAnsi="Times New Roman"/>
              </w:rPr>
              <w:t>LRT</w:t>
            </w:r>
            <w:r>
              <w:rPr>
                <w:rFonts w:ascii="Times New Roman" w:hAnsi="Times New Roman"/>
                <w:vertAlign w:val="subscript"/>
              </w:rPr>
              <w:t>4,3</w:t>
            </w:r>
            <w:r>
              <w:rPr>
                <w:rFonts w:ascii="Times New Roman" w:hAnsi="Times New Roman"/>
              </w:rPr>
              <w:t>=9.57</w:t>
            </w:r>
          </w:p>
        </w:tc>
        <w:tc>
          <w:tcPr>
            <w:tcW w:w="1134" w:type="dxa"/>
          </w:tcPr>
          <w:p w:rsidR="001A2B59" w:rsidRPr="00ED719B" w:rsidRDefault="001A2B59">
            <w:pPr>
              <w:rPr>
                <w:rFonts w:ascii="Times New Roman" w:hAnsi="Times New Roman"/>
                <w:b/>
                <w:sz w:val="22"/>
              </w:rPr>
            </w:pPr>
            <w:r>
              <w:rPr>
                <w:rFonts w:ascii="Times New Roman" w:hAnsi="Times New Roman"/>
                <w:b/>
                <w:sz w:val="22"/>
              </w:rPr>
              <w:t>0.002</w:t>
            </w:r>
          </w:p>
        </w:tc>
      </w:tr>
      <w:tr w:rsidR="001A2B59" w:rsidRPr="00ED719B">
        <w:tc>
          <w:tcPr>
            <w:tcW w:w="1242" w:type="dxa"/>
            <w:vMerge/>
          </w:tcPr>
          <w:p w:rsidR="001A2B59" w:rsidRPr="00ED719B" w:rsidRDefault="001A2B59">
            <w:pPr>
              <w:rPr>
                <w:rFonts w:ascii="Times New Roman" w:hAnsi="Times New Roman"/>
                <w:sz w:val="22"/>
              </w:rPr>
            </w:pPr>
          </w:p>
        </w:tc>
        <w:tc>
          <w:tcPr>
            <w:tcW w:w="3828" w:type="dxa"/>
          </w:tcPr>
          <w:p w:rsidR="001A2B59" w:rsidRPr="00ED719B" w:rsidRDefault="001A2B59" w:rsidP="00F7204D">
            <w:pPr>
              <w:rPr>
                <w:rFonts w:ascii="Times New Roman" w:hAnsi="Times New Roman"/>
                <w:sz w:val="22"/>
              </w:rPr>
            </w:pPr>
            <w:r w:rsidRPr="00ED719B">
              <w:rPr>
                <w:rFonts w:ascii="Times New Roman" w:hAnsi="Times New Roman"/>
                <w:sz w:val="22"/>
              </w:rPr>
              <w:t xml:space="preserve">Hinge features, PCA predictors, 200 km rectangular background extent </w:t>
            </w:r>
            <w:r w:rsidR="009910B9">
              <w:rPr>
                <w:rFonts w:ascii="Times New Roman" w:hAnsi="Times New Roman"/>
                <w:sz w:val="22"/>
              </w:rPr>
              <w:t>(V3)</w:t>
            </w:r>
          </w:p>
        </w:tc>
        <w:tc>
          <w:tcPr>
            <w:tcW w:w="1701" w:type="dxa"/>
          </w:tcPr>
          <w:p w:rsidR="001A2B59" w:rsidRPr="00ED719B" w:rsidRDefault="001A2B59" w:rsidP="00F7204D">
            <w:pPr>
              <w:rPr>
                <w:rFonts w:ascii="Times New Roman" w:hAnsi="Times New Roman"/>
                <w:sz w:val="22"/>
              </w:rPr>
            </w:pPr>
            <w:r>
              <w:rPr>
                <w:rFonts w:ascii="Times New Roman" w:hAnsi="Times New Roman"/>
                <w:sz w:val="22"/>
              </w:rPr>
              <w:t>-0.27 (0.057)</w:t>
            </w:r>
          </w:p>
        </w:tc>
        <w:tc>
          <w:tcPr>
            <w:tcW w:w="1559" w:type="dxa"/>
          </w:tcPr>
          <w:p w:rsidR="001A2B59" w:rsidRPr="00ED719B" w:rsidRDefault="001A2B59" w:rsidP="00F7204D">
            <w:pPr>
              <w:rPr>
                <w:rFonts w:ascii="Times New Roman" w:hAnsi="Times New Roman"/>
                <w:sz w:val="22"/>
              </w:rPr>
            </w:pPr>
            <w:r>
              <w:rPr>
                <w:rFonts w:ascii="Times New Roman" w:hAnsi="Times New Roman"/>
              </w:rPr>
              <w:t>LRT</w:t>
            </w:r>
            <w:r>
              <w:rPr>
                <w:rFonts w:ascii="Times New Roman" w:hAnsi="Times New Roman"/>
                <w:vertAlign w:val="subscript"/>
              </w:rPr>
              <w:t>4,3</w:t>
            </w:r>
            <w:r>
              <w:rPr>
                <w:rFonts w:ascii="Times New Roman" w:hAnsi="Times New Roman"/>
              </w:rPr>
              <w:t>=20.82</w:t>
            </w:r>
          </w:p>
        </w:tc>
        <w:tc>
          <w:tcPr>
            <w:tcW w:w="1134" w:type="dxa"/>
          </w:tcPr>
          <w:p w:rsidR="001A2B59" w:rsidRPr="00ED719B" w:rsidRDefault="001A2B59">
            <w:pPr>
              <w:rPr>
                <w:rFonts w:ascii="Times New Roman" w:hAnsi="Times New Roman"/>
                <w:b/>
                <w:sz w:val="22"/>
              </w:rPr>
            </w:pPr>
            <w:r>
              <w:rPr>
                <w:rFonts w:ascii="Times New Roman" w:hAnsi="Times New Roman"/>
                <w:b/>
              </w:rPr>
              <w:t>&lt;0.0001</w:t>
            </w:r>
          </w:p>
        </w:tc>
      </w:tr>
      <w:tr w:rsidR="001A2B59" w:rsidRPr="00ED719B">
        <w:tc>
          <w:tcPr>
            <w:tcW w:w="1242" w:type="dxa"/>
            <w:vMerge/>
          </w:tcPr>
          <w:p w:rsidR="001A2B59" w:rsidRPr="00ED719B" w:rsidRDefault="001A2B59">
            <w:pPr>
              <w:rPr>
                <w:rFonts w:ascii="Times New Roman" w:hAnsi="Times New Roman"/>
                <w:sz w:val="22"/>
              </w:rPr>
            </w:pPr>
          </w:p>
        </w:tc>
        <w:tc>
          <w:tcPr>
            <w:tcW w:w="3828" w:type="dxa"/>
          </w:tcPr>
          <w:p w:rsidR="001A2B59" w:rsidRPr="00ED719B" w:rsidRDefault="001A2B59" w:rsidP="00F7204D">
            <w:pPr>
              <w:rPr>
                <w:rFonts w:ascii="Times New Roman" w:hAnsi="Times New Roman"/>
                <w:sz w:val="22"/>
              </w:rPr>
            </w:pPr>
            <w:r w:rsidRPr="00ED719B">
              <w:rPr>
                <w:rFonts w:ascii="Times New Roman" w:hAnsi="Times New Roman"/>
                <w:sz w:val="22"/>
              </w:rPr>
              <w:t xml:space="preserve">All features, all </w:t>
            </w:r>
            <w:proofErr w:type="spellStart"/>
            <w:r w:rsidRPr="00ED719B">
              <w:rPr>
                <w:rFonts w:ascii="Times New Roman" w:hAnsi="Times New Roman"/>
                <w:smallCaps/>
                <w:sz w:val="22"/>
              </w:rPr>
              <w:t>bioclim</w:t>
            </w:r>
            <w:proofErr w:type="spellEnd"/>
            <w:r w:rsidRPr="00ED719B">
              <w:rPr>
                <w:rFonts w:ascii="Times New Roman" w:hAnsi="Times New Roman"/>
                <w:smallCaps/>
                <w:sz w:val="22"/>
              </w:rPr>
              <w:t xml:space="preserve"> </w:t>
            </w:r>
            <w:r w:rsidRPr="00ED719B">
              <w:rPr>
                <w:rFonts w:ascii="Times New Roman" w:hAnsi="Times New Roman"/>
                <w:sz w:val="22"/>
              </w:rPr>
              <w:t xml:space="preserve">predictors, 200 km rectangular background extent </w:t>
            </w:r>
            <w:r w:rsidR="009910B9">
              <w:rPr>
                <w:rFonts w:ascii="Times New Roman" w:hAnsi="Times New Roman"/>
                <w:sz w:val="22"/>
              </w:rPr>
              <w:t>(V4)</w:t>
            </w:r>
          </w:p>
        </w:tc>
        <w:tc>
          <w:tcPr>
            <w:tcW w:w="1701" w:type="dxa"/>
          </w:tcPr>
          <w:p w:rsidR="001A2B59" w:rsidRPr="00ED719B" w:rsidRDefault="001A2B59" w:rsidP="00F7204D">
            <w:pPr>
              <w:rPr>
                <w:rFonts w:ascii="Times New Roman" w:hAnsi="Times New Roman"/>
                <w:sz w:val="22"/>
              </w:rPr>
            </w:pPr>
            <w:r>
              <w:rPr>
                <w:rFonts w:ascii="Times New Roman" w:hAnsi="Times New Roman"/>
                <w:sz w:val="22"/>
              </w:rPr>
              <w:t>-0.32 (0.058)</w:t>
            </w:r>
          </w:p>
        </w:tc>
        <w:tc>
          <w:tcPr>
            <w:tcW w:w="1559" w:type="dxa"/>
          </w:tcPr>
          <w:p w:rsidR="001A2B59" w:rsidRPr="00ED719B" w:rsidRDefault="001A2B59" w:rsidP="00F7204D">
            <w:pPr>
              <w:rPr>
                <w:rFonts w:ascii="Times New Roman" w:hAnsi="Times New Roman"/>
                <w:sz w:val="22"/>
              </w:rPr>
            </w:pPr>
            <w:r>
              <w:rPr>
                <w:rFonts w:ascii="Times New Roman" w:hAnsi="Times New Roman"/>
              </w:rPr>
              <w:t>LRT</w:t>
            </w:r>
            <w:r>
              <w:rPr>
                <w:rFonts w:ascii="Times New Roman" w:hAnsi="Times New Roman"/>
                <w:vertAlign w:val="subscript"/>
              </w:rPr>
              <w:t>4,3</w:t>
            </w:r>
            <w:r>
              <w:rPr>
                <w:rFonts w:ascii="Times New Roman" w:hAnsi="Times New Roman"/>
              </w:rPr>
              <w:t>=26.27</w:t>
            </w:r>
          </w:p>
        </w:tc>
        <w:tc>
          <w:tcPr>
            <w:tcW w:w="1134" w:type="dxa"/>
          </w:tcPr>
          <w:p w:rsidR="001A2B59" w:rsidRPr="00ED719B" w:rsidRDefault="001A2B59">
            <w:pPr>
              <w:rPr>
                <w:rFonts w:ascii="Times New Roman" w:hAnsi="Times New Roman"/>
                <w:b/>
                <w:sz w:val="22"/>
              </w:rPr>
            </w:pPr>
            <w:r>
              <w:rPr>
                <w:rFonts w:ascii="Times New Roman" w:hAnsi="Times New Roman"/>
                <w:b/>
              </w:rPr>
              <w:t>&lt;0.0001</w:t>
            </w:r>
          </w:p>
        </w:tc>
      </w:tr>
      <w:tr w:rsidR="001A2B59" w:rsidRPr="00ED719B">
        <w:tc>
          <w:tcPr>
            <w:tcW w:w="1242" w:type="dxa"/>
            <w:vMerge/>
          </w:tcPr>
          <w:p w:rsidR="001A2B59" w:rsidRPr="00ED719B" w:rsidRDefault="001A2B59">
            <w:pPr>
              <w:rPr>
                <w:rFonts w:ascii="Times New Roman" w:hAnsi="Times New Roman"/>
                <w:sz w:val="22"/>
              </w:rPr>
            </w:pPr>
          </w:p>
        </w:tc>
        <w:tc>
          <w:tcPr>
            <w:tcW w:w="3828" w:type="dxa"/>
          </w:tcPr>
          <w:p w:rsidR="001A2B59" w:rsidRPr="00ED719B" w:rsidRDefault="001A2B59" w:rsidP="00F7204D">
            <w:pPr>
              <w:rPr>
                <w:rFonts w:ascii="Times New Roman" w:hAnsi="Times New Roman"/>
                <w:sz w:val="22"/>
              </w:rPr>
            </w:pPr>
            <w:r w:rsidRPr="00ED719B">
              <w:rPr>
                <w:rFonts w:ascii="Times New Roman" w:hAnsi="Times New Roman"/>
                <w:sz w:val="22"/>
              </w:rPr>
              <w:t xml:space="preserve">Hinge features, PCA predictors, buffered points background extent </w:t>
            </w:r>
            <w:r w:rsidR="009910B9">
              <w:rPr>
                <w:rFonts w:ascii="Times New Roman" w:hAnsi="Times New Roman"/>
                <w:sz w:val="22"/>
              </w:rPr>
              <w:t>(V5)</w:t>
            </w:r>
          </w:p>
        </w:tc>
        <w:tc>
          <w:tcPr>
            <w:tcW w:w="1701" w:type="dxa"/>
          </w:tcPr>
          <w:p w:rsidR="001A2B59" w:rsidRPr="00ED719B" w:rsidRDefault="001A2B59" w:rsidP="00F7204D">
            <w:pPr>
              <w:rPr>
                <w:rFonts w:ascii="Times New Roman" w:hAnsi="Times New Roman"/>
                <w:sz w:val="22"/>
              </w:rPr>
            </w:pPr>
            <w:r>
              <w:rPr>
                <w:rFonts w:ascii="Times New Roman" w:hAnsi="Times New Roman"/>
                <w:sz w:val="22"/>
              </w:rPr>
              <w:t>-0.26 (0.055)</w:t>
            </w:r>
          </w:p>
        </w:tc>
        <w:tc>
          <w:tcPr>
            <w:tcW w:w="1559" w:type="dxa"/>
          </w:tcPr>
          <w:p w:rsidR="001A2B59" w:rsidRPr="00ED719B" w:rsidRDefault="001A2B59" w:rsidP="00F7204D">
            <w:pPr>
              <w:rPr>
                <w:rFonts w:ascii="Times New Roman" w:hAnsi="Times New Roman"/>
                <w:sz w:val="22"/>
              </w:rPr>
            </w:pPr>
            <w:r>
              <w:rPr>
                <w:rFonts w:ascii="Times New Roman" w:hAnsi="Times New Roman"/>
              </w:rPr>
              <w:t>LRT</w:t>
            </w:r>
            <w:r>
              <w:rPr>
                <w:rFonts w:ascii="Times New Roman" w:hAnsi="Times New Roman"/>
                <w:vertAlign w:val="subscript"/>
              </w:rPr>
              <w:t>4,3</w:t>
            </w:r>
            <w:r>
              <w:rPr>
                <w:rFonts w:ascii="Times New Roman" w:hAnsi="Times New Roman"/>
              </w:rPr>
              <w:t>=19.90</w:t>
            </w:r>
          </w:p>
        </w:tc>
        <w:tc>
          <w:tcPr>
            <w:tcW w:w="1134" w:type="dxa"/>
          </w:tcPr>
          <w:p w:rsidR="001A2B59" w:rsidRPr="00ED719B" w:rsidRDefault="001A2B59">
            <w:pPr>
              <w:rPr>
                <w:rFonts w:ascii="Times New Roman" w:hAnsi="Times New Roman"/>
                <w:b/>
                <w:sz w:val="22"/>
              </w:rPr>
            </w:pPr>
            <w:r>
              <w:rPr>
                <w:rFonts w:ascii="Times New Roman" w:hAnsi="Times New Roman"/>
                <w:b/>
              </w:rPr>
              <w:t>&lt;0.0001</w:t>
            </w:r>
          </w:p>
        </w:tc>
      </w:tr>
      <w:tr w:rsidR="001A2B59" w:rsidRPr="00ED719B">
        <w:tc>
          <w:tcPr>
            <w:tcW w:w="1242" w:type="dxa"/>
            <w:vMerge/>
            <w:tcBorders>
              <w:bottom w:val="single" w:sz="4" w:space="0" w:color="auto"/>
            </w:tcBorders>
          </w:tcPr>
          <w:p w:rsidR="001A2B59" w:rsidRPr="00ED719B" w:rsidRDefault="001A2B59">
            <w:pPr>
              <w:rPr>
                <w:rFonts w:ascii="Times New Roman" w:hAnsi="Times New Roman"/>
                <w:sz w:val="22"/>
              </w:rPr>
            </w:pPr>
          </w:p>
        </w:tc>
        <w:tc>
          <w:tcPr>
            <w:tcW w:w="3828" w:type="dxa"/>
            <w:tcBorders>
              <w:bottom w:val="single" w:sz="4" w:space="0" w:color="auto"/>
            </w:tcBorders>
          </w:tcPr>
          <w:p w:rsidR="001A2B59" w:rsidRPr="00ED719B" w:rsidRDefault="001A2B59" w:rsidP="00F7204D">
            <w:pPr>
              <w:rPr>
                <w:rFonts w:ascii="Times New Roman" w:hAnsi="Times New Roman"/>
                <w:sz w:val="22"/>
              </w:rPr>
            </w:pPr>
            <w:r w:rsidRPr="00ED719B">
              <w:rPr>
                <w:rFonts w:ascii="Times New Roman" w:hAnsi="Times New Roman"/>
                <w:sz w:val="22"/>
              </w:rPr>
              <w:t>Linear-product-quadratic features, PCA predictors, buffered points background extent</w:t>
            </w:r>
            <w:r w:rsidR="009910B9">
              <w:rPr>
                <w:rFonts w:ascii="Times New Roman" w:hAnsi="Times New Roman"/>
                <w:sz w:val="22"/>
              </w:rPr>
              <w:t xml:space="preserve"> (V6)</w:t>
            </w:r>
            <w:r w:rsidRPr="00ED719B">
              <w:rPr>
                <w:rFonts w:ascii="Times New Roman" w:hAnsi="Times New Roman"/>
                <w:sz w:val="22"/>
                <w:vertAlign w:val="superscript"/>
              </w:rPr>
              <w:t xml:space="preserve"> </w:t>
            </w:r>
          </w:p>
        </w:tc>
        <w:tc>
          <w:tcPr>
            <w:tcW w:w="1701" w:type="dxa"/>
            <w:tcBorders>
              <w:bottom w:val="single" w:sz="4" w:space="0" w:color="auto"/>
            </w:tcBorders>
          </w:tcPr>
          <w:p w:rsidR="001A2B59" w:rsidRPr="00ED719B" w:rsidRDefault="001A2B59" w:rsidP="00F7204D">
            <w:pPr>
              <w:rPr>
                <w:rFonts w:ascii="Times New Roman" w:hAnsi="Times New Roman"/>
                <w:sz w:val="22"/>
              </w:rPr>
            </w:pPr>
            <w:r>
              <w:rPr>
                <w:rFonts w:ascii="Times New Roman" w:hAnsi="Times New Roman"/>
                <w:sz w:val="22"/>
              </w:rPr>
              <w:t>-0.14 (0.051)</w:t>
            </w:r>
          </w:p>
        </w:tc>
        <w:tc>
          <w:tcPr>
            <w:tcW w:w="1559" w:type="dxa"/>
            <w:tcBorders>
              <w:bottom w:val="single" w:sz="4" w:space="0" w:color="auto"/>
            </w:tcBorders>
          </w:tcPr>
          <w:p w:rsidR="001A2B59" w:rsidRPr="00ED719B" w:rsidRDefault="001A2B59" w:rsidP="00F7204D">
            <w:pPr>
              <w:rPr>
                <w:rFonts w:ascii="Times New Roman" w:hAnsi="Times New Roman"/>
                <w:sz w:val="22"/>
              </w:rPr>
            </w:pPr>
            <w:r>
              <w:rPr>
                <w:rFonts w:ascii="Times New Roman" w:hAnsi="Times New Roman"/>
              </w:rPr>
              <w:t>LRT</w:t>
            </w:r>
            <w:r>
              <w:rPr>
                <w:rFonts w:ascii="Times New Roman" w:hAnsi="Times New Roman"/>
                <w:vertAlign w:val="subscript"/>
              </w:rPr>
              <w:t>4,3</w:t>
            </w:r>
            <w:r>
              <w:rPr>
                <w:rFonts w:ascii="Times New Roman" w:hAnsi="Times New Roman"/>
              </w:rPr>
              <w:t>=7.11</w:t>
            </w:r>
          </w:p>
        </w:tc>
        <w:tc>
          <w:tcPr>
            <w:tcW w:w="1134" w:type="dxa"/>
            <w:tcBorders>
              <w:bottom w:val="single" w:sz="4" w:space="0" w:color="auto"/>
            </w:tcBorders>
          </w:tcPr>
          <w:p w:rsidR="001A2B59" w:rsidRPr="0062264E" w:rsidRDefault="001A2B59">
            <w:pPr>
              <w:rPr>
                <w:rFonts w:ascii="Times New Roman" w:hAnsi="Times New Roman"/>
                <w:b/>
                <w:sz w:val="22"/>
              </w:rPr>
            </w:pPr>
            <w:r w:rsidRPr="0062264E">
              <w:rPr>
                <w:rFonts w:ascii="Times New Roman" w:hAnsi="Times New Roman"/>
                <w:b/>
                <w:sz w:val="22"/>
              </w:rPr>
              <w:t>0.0077</w:t>
            </w:r>
          </w:p>
        </w:tc>
      </w:tr>
    </w:tbl>
    <w:p w:rsidR="00426B97" w:rsidRPr="00D03C4E" w:rsidRDefault="008950EC" w:rsidP="00426B97">
      <w:pPr>
        <w:rPr>
          <w:rFonts w:ascii="Times New Roman" w:hAnsi="Times New Roman" w:cs="Times New Roman"/>
          <w:sz w:val="20"/>
          <w:szCs w:val="20"/>
        </w:rPr>
      </w:pPr>
      <w:r>
        <w:rPr>
          <w:rFonts w:ascii="Times New Roman" w:hAnsi="Times New Roman"/>
          <w:vertAlign w:val="superscript"/>
        </w:rPr>
        <w:t>*</w:t>
      </w:r>
      <w:r w:rsidR="00426B97">
        <w:rPr>
          <w:rFonts w:ascii="Times New Roman" w:hAnsi="Times New Roman"/>
          <w:vertAlign w:val="superscript"/>
        </w:rPr>
        <w:t xml:space="preserve"> </w:t>
      </w:r>
      <w:r w:rsidR="00426B97" w:rsidRPr="00E95080">
        <w:rPr>
          <w:rFonts w:ascii="Times New Roman" w:hAnsi="Times New Roman" w:cs="Times New Roman"/>
          <w:sz w:val="20"/>
          <w:szCs w:val="20"/>
        </w:rPr>
        <w:t>To improve homoscedasticity, varian</w:t>
      </w:r>
      <w:r w:rsidR="00426B97">
        <w:rPr>
          <w:rFonts w:ascii="Times New Roman" w:hAnsi="Times New Roman" w:cs="Times New Roman"/>
          <w:sz w:val="20"/>
          <w:szCs w:val="20"/>
        </w:rPr>
        <w:t>ces were allowed to vary by site type</w:t>
      </w:r>
      <w:r w:rsidR="00426B97" w:rsidRPr="00E95080">
        <w:rPr>
          <w:rFonts w:ascii="Times New Roman" w:hAnsi="Times New Roman" w:cs="Times New Roman"/>
          <w:sz w:val="20"/>
          <w:szCs w:val="20"/>
        </w:rPr>
        <w:t>.</w:t>
      </w:r>
    </w:p>
    <w:p w:rsidR="00426B97" w:rsidRDefault="00426B97" w:rsidP="00426B97">
      <w:pPr>
        <w:rPr>
          <w:rFonts w:ascii="Times New Roman" w:hAnsi="Times New Roman"/>
        </w:rPr>
      </w:pPr>
      <w:r>
        <w:rPr>
          <w:rFonts w:ascii="Times New Roman" w:hAnsi="Times New Roman"/>
        </w:rPr>
        <w:br w:type="page"/>
      </w:r>
    </w:p>
    <w:p w:rsidR="00426B97" w:rsidRPr="00B4467B" w:rsidRDefault="00426B97" w:rsidP="00426B97">
      <w:pPr>
        <w:rPr>
          <w:rFonts w:ascii="Times New Roman" w:hAnsi="Times New Roman"/>
        </w:rPr>
      </w:pPr>
      <w:r w:rsidRPr="00B4467B">
        <w:rPr>
          <w:rFonts w:ascii="Times New Roman" w:hAnsi="Times New Roman"/>
        </w:rPr>
        <w:t>Table S3</w:t>
      </w:r>
      <w:r w:rsidR="00FE7F7A">
        <w:rPr>
          <w:rFonts w:ascii="Times New Roman" w:hAnsi="Times New Roman"/>
        </w:rPr>
        <w:t>-3</w:t>
      </w:r>
      <w:r w:rsidRPr="00B4467B">
        <w:rPr>
          <w:rFonts w:ascii="Times New Roman" w:hAnsi="Times New Roman"/>
        </w:rPr>
        <w:t xml:space="preserve">. Concordance between the </w:t>
      </w:r>
      <w:r w:rsidRPr="00B4467B">
        <w:t>direction of the change</w:t>
      </w:r>
      <w:r w:rsidRPr="00B4467B">
        <w:rPr>
          <w:rFonts w:ascii="Times New Roman" w:hAnsi="Times New Roman"/>
        </w:rPr>
        <w:t xml:space="preserve"> in the </w:t>
      </w:r>
      <w:r>
        <w:rPr>
          <w:rFonts w:ascii="Times New Roman" w:hAnsi="Times New Roman"/>
        </w:rPr>
        <w:t>performance</w:t>
      </w:r>
      <w:r w:rsidRPr="00B4467B">
        <w:rPr>
          <w:rFonts w:ascii="Times New Roman" w:hAnsi="Times New Roman"/>
        </w:rPr>
        <w:t xml:space="preserve"> of individuals </w:t>
      </w:r>
      <w:r>
        <w:rPr>
          <w:rFonts w:ascii="Times New Roman" w:hAnsi="Times New Roman"/>
        </w:rPr>
        <w:t>(best fitness proxy)</w:t>
      </w:r>
      <w:r w:rsidRPr="00B4467B">
        <w:rPr>
          <w:rFonts w:ascii="Times New Roman" w:hAnsi="Times New Roman"/>
        </w:rPr>
        <w:t xml:space="preserve"> and the suitability of sites across range limits when niche models are calibrated in different</w:t>
      </w:r>
      <w:r>
        <w:rPr>
          <w:rFonts w:ascii="Times New Roman" w:hAnsi="Times New Roman"/>
        </w:rPr>
        <w:t xml:space="preserve"> ways. The results are based on </w:t>
      </w:r>
      <w:r w:rsidRPr="00B4467B">
        <w:rPr>
          <w:rFonts w:ascii="Times New Roman" w:hAnsi="Times New Roman"/>
        </w:rPr>
        <w:t>binomial test</w:t>
      </w:r>
      <w:r>
        <w:rPr>
          <w:rFonts w:ascii="Times New Roman" w:hAnsi="Times New Roman"/>
        </w:rPr>
        <w:t>s</w:t>
      </w:r>
      <w:r w:rsidRPr="00B4467B">
        <w:rPr>
          <w:rFonts w:ascii="Times New Roman" w:hAnsi="Times New Roman"/>
        </w:rPr>
        <w:t xml:space="preserve"> with p</w:t>
      </w:r>
      <w:r>
        <w:rPr>
          <w:rFonts w:ascii="Times New Roman" w:hAnsi="Times New Roman"/>
        </w:rPr>
        <w:t>robability of success</w:t>
      </w:r>
      <w:r w:rsidRPr="00B4467B">
        <w:rPr>
          <w:rFonts w:ascii="Times New Roman" w:hAnsi="Times New Roman"/>
        </w:rPr>
        <w:t xml:space="preserve"> = 0.5. </w:t>
      </w:r>
      <w:r w:rsidRPr="00B1159C">
        <w:rPr>
          <w:rFonts w:ascii="Times New Roman" w:hAnsi="Times New Roman"/>
        </w:rPr>
        <w:t>Significant</w:t>
      </w:r>
      <w:r w:rsidRPr="000C1D0B">
        <w:rPr>
          <w:rFonts w:ascii="Times New Roman" w:hAnsi="Times New Roman"/>
        </w:rPr>
        <w:t xml:space="preserve"> values (p&lt;0.05) are in bold. </w:t>
      </w:r>
    </w:p>
    <w:p w:rsidR="00D47DF8" w:rsidRPr="000C1D0B" w:rsidRDefault="00D47DF8" w:rsidP="00426B97">
      <w:pPr>
        <w:rPr>
          <w:rFonts w:ascii="Times New Roman" w:hAnsi="Times New Roman"/>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4820"/>
        <w:gridCol w:w="2410"/>
        <w:gridCol w:w="992"/>
      </w:tblGrid>
      <w:tr w:rsidR="00C750D3" w:rsidRPr="00D86281">
        <w:tc>
          <w:tcPr>
            <w:tcW w:w="1242" w:type="dxa"/>
            <w:tcBorders>
              <w:top w:val="single" w:sz="4" w:space="0" w:color="000000" w:themeColor="text1"/>
              <w:bottom w:val="single" w:sz="4" w:space="0" w:color="000000" w:themeColor="text1"/>
            </w:tcBorders>
          </w:tcPr>
          <w:p w:rsidR="00C750D3" w:rsidRPr="00D47DF8" w:rsidRDefault="00C750D3" w:rsidP="00F400BD">
            <w:pPr>
              <w:rPr>
                <w:rFonts w:ascii="Times New Roman" w:hAnsi="Times New Roman"/>
                <w:sz w:val="22"/>
              </w:rPr>
            </w:pPr>
            <w:r w:rsidRPr="00D47DF8">
              <w:rPr>
                <w:rFonts w:ascii="Times New Roman" w:hAnsi="Times New Roman"/>
                <w:sz w:val="22"/>
              </w:rPr>
              <w:t>Analysis</w:t>
            </w:r>
          </w:p>
        </w:tc>
        <w:tc>
          <w:tcPr>
            <w:tcW w:w="4820" w:type="dxa"/>
            <w:tcBorders>
              <w:top w:val="single" w:sz="4" w:space="0" w:color="000000" w:themeColor="text1"/>
              <w:bottom w:val="single" w:sz="4" w:space="0" w:color="000000" w:themeColor="text1"/>
            </w:tcBorders>
          </w:tcPr>
          <w:p w:rsidR="00C750D3" w:rsidRPr="00D47DF8" w:rsidRDefault="00C750D3" w:rsidP="00F400BD">
            <w:pPr>
              <w:rPr>
                <w:rFonts w:ascii="Times New Roman" w:hAnsi="Times New Roman"/>
                <w:sz w:val="22"/>
              </w:rPr>
            </w:pPr>
            <w:r>
              <w:rPr>
                <w:rFonts w:ascii="Times New Roman" w:hAnsi="Times New Roman"/>
                <w:sz w:val="22"/>
              </w:rPr>
              <w:t>ENM</w:t>
            </w:r>
            <w:r w:rsidRPr="00D47DF8">
              <w:rPr>
                <w:rFonts w:ascii="Times New Roman" w:hAnsi="Times New Roman"/>
                <w:sz w:val="22"/>
              </w:rPr>
              <w:t xml:space="preserve"> methodology</w:t>
            </w:r>
          </w:p>
        </w:tc>
        <w:tc>
          <w:tcPr>
            <w:tcW w:w="2410" w:type="dxa"/>
            <w:tcBorders>
              <w:top w:val="single" w:sz="4" w:space="0" w:color="000000" w:themeColor="text1"/>
              <w:bottom w:val="single" w:sz="4" w:space="0" w:color="000000" w:themeColor="text1"/>
            </w:tcBorders>
          </w:tcPr>
          <w:p w:rsidR="00C750D3" w:rsidRPr="00D47DF8" w:rsidRDefault="00C750D3" w:rsidP="00F400BD">
            <w:pPr>
              <w:rPr>
                <w:rFonts w:ascii="Times New Roman" w:hAnsi="Times New Roman"/>
                <w:sz w:val="22"/>
              </w:rPr>
            </w:pPr>
            <w:r w:rsidRPr="00D47DF8">
              <w:rPr>
                <w:rFonts w:ascii="Times New Roman" w:hAnsi="Times New Roman"/>
                <w:sz w:val="22"/>
              </w:rPr>
              <w:t>Number of species with fitness and suitability changing in the same direction</w:t>
            </w:r>
          </w:p>
        </w:tc>
        <w:tc>
          <w:tcPr>
            <w:tcW w:w="992" w:type="dxa"/>
            <w:tcBorders>
              <w:top w:val="single" w:sz="4" w:space="0" w:color="000000" w:themeColor="text1"/>
              <w:bottom w:val="single" w:sz="4" w:space="0" w:color="000000" w:themeColor="text1"/>
            </w:tcBorders>
          </w:tcPr>
          <w:p w:rsidR="00C750D3" w:rsidRPr="00D47DF8" w:rsidRDefault="00C750D3">
            <w:pPr>
              <w:rPr>
                <w:rFonts w:ascii="Times New Roman" w:hAnsi="Times New Roman"/>
                <w:sz w:val="22"/>
              </w:rPr>
            </w:pPr>
            <w:r w:rsidRPr="00D47DF8">
              <w:rPr>
                <w:rFonts w:ascii="Times New Roman" w:hAnsi="Times New Roman"/>
                <w:sz w:val="22"/>
              </w:rPr>
              <w:t>p value</w:t>
            </w:r>
          </w:p>
        </w:tc>
      </w:tr>
      <w:tr w:rsidR="001A2B59" w:rsidRPr="00D86281">
        <w:tc>
          <w:tcPr>
            <w:tcW w:w="1242" w:type="dxa"/>
            <w:vMerge w:val="restart"/>
            <w:tcBorders>
              <w:top w:val="single" w:sz="4" w:space="0" w:color="000000" w:themeColor="text1"/>
            </w:tcBorders>
          </w:tcPr>
          <w:p w:rsidR="001A2B59" w:rsidRDefault="001A2B59" w:rsidP="00F400BD">
            <w:pPr>
              <w:rPr>
                <w:rFonts w:ascii="Times New Roman" w:hAnsi="Times New Roman"/>
                <w:sz w:val="22"/>
              </w:rPr>
            </w:pPr>
            <w:r w:rsidRPr="00D47DF8">
              <w:rPr>
                <w:rFonts w:ascii="Times New Roman" w:hAnsi="Times New Roman"/>
                <w:sz w:val="22"/>
              </w:rPr>
              <w:t>Combined</w:t>
            </w:r>
          </w:p>
          <w:p w:rsidR="001A2B59" w:rsidRPr="00D47DF8" w:rsidRDefault="001A2B59" w:rsidP="00F400BD">
            <w:pPr>
              <w:rPr>
                <w:rFonts w:ascii="Times New Roman" w:hAnsi="Times New Roman"/>
                <w:sz w:val="22"/>
              </w:rPr>
            </w:pPr>
            <w:r>
              <w:rPr>
                <w:rFonts w:ascii="Times New Roman" w:hAnsi="Times New Roman"/>
                <w:sz w:val="22"/>
              </w:rPr>
              <w:t>(N = 40)</w:t>
            </w:r>
          </w:p>
        </w:tc>
        <w:tc>
          <w:tcPr>
            <w:tcW w:w="4820" w:type="dxa"/>
            <w:tcBorders>
              <w:top w:val="single" w:sz="4" w:space="0" w:color="000000" w:themeColor="text1"/>
            </w:tcBorders>
          </w:tcPr>
          <w:p w:rsidR="001A2B59" w:rsidRPr="0006219B" w:rsidRDefault="001A2B59" w:rsidP="00C750D3">
            <w:pPr>
              <w:rPr>
                <w:rFonts w:ascii="Times New Roman" w:hAnsi="Times New Roman"/>
                <w:b/>
                <w:sz w:val="22"/>
              </w:rPr>
            </w:pPr>
            <w:r w:rsidRPr="00D47DF8">
              <w:rPr>
                <w:rFonts w:ascii="Times New Roman" w:hAnsi="Times New Roman"/>
                <w:sz w:val="22"/>
              </w:rPr>
              <w:t xml:space="preserve">Hinge features, PCA predictors, MCP background extent </w:t>
            </w:r>
            <w:r w:rsidR="009910B9">
              <w:rPr>
                <w:rFonts w:ascii="Times New Roman" w:hAnsi="Times New Roman"/>
                <w:sz w:val="22"/>
              </w:rPr>
              <w:t>(V1)</w:t>
            </w:r>
          </w:p>
        </w:tc>
        <w:tc>
          <w:tcPr>
            <w:tcW w:w="2410" w:type="dxa"/>
            <w:tcBorders>
              <w:top w:val="single" w:sz="4" w:space="0" w:color="000000" w:themeColor="text1"/>
            </w:tcBorders>
          </w:tcPr>
          <w:p w:rsidR="001A2B59" w:rsidRPr="00D47DF8" w:rsidRDefault="001A2B59" w:rsidP="00F400BD">
            <w:pPr>
              <w:rPr>
                <w:rFonts w:ascii="Times New Roman" w:hAnsi="Times New Roman"/>
                <w:sz w:val="22"/>
              </w:rPr>
            </w:pPr>
            <w:r>
              <w:rPr>
                <w:rFonts w:ascii="Times New Roman" w:hAnsi="Times New Roman"/>
                <w:sz w:val="22"/>
              </w:rPr>
              <w:t>31</w:t>
            </w:r>
          </w:p>
        </w:tc>
        <w:tc>
          <w:tcPr>
            <w:tcW w:w="992" w:type="dxa"/>
            <w:tcBorders>
              <w:top w:val="single" w:sz="4" w:space="0" w:color="000000" w:themeColor="text1"/>
            </w:tcBorders>
          </w:tcPr>
          <w:p w:rsidR="001A2B59" w:rsidRPr="00D47DF8" w:rsidRDefault="001A2B59">
            <w:pPr>
              <w:rPr>
                <w:rFonts w:ascii="Times New Roman" w:hAnsi="Times New Roman"/>
                <w:b/>
                <w:sz w:val="22"/>
              </w:rPr>
            </w:pPr>
            <w:r>
              <w:rPr>
                <w:rFonts w:ascii="Times New Roman" w:hAnsi="Times New Roman"/>
                <w:b/>
                <w:sz w:val="22"/>
              </w:rPr>
              <w:t>0.00068</w:t>
            </w:r>
          </w:p>
        </w:tc>
      </w:tr>
      <w:tr w:rsidR="001A2B59" w:rsidRPr="00D86281">
        <w:tc>
          <w:tcPr>
            <w:tcW w:w="1242" w:type="dxa"/>
            <w:vMerge/>
          </w:tcPr>
          <w:p w:rsidR="001A2B59" w:rsidRPr="00D47DF8" w:rsidRDefault="001A2B59">
            <w:pPr>
              <w:rPr>
                <w:rFonts w:ascii="Times New Roman" w:hAnsi="Times New Roman"/>
                <w:sz w:val="22"/>
              </w:rPr>
            </w:pPr>
          </w:p>
        </w:tc>
        <w:tc>
          <w:tcPr>
            <w:tcW w:w="4820" w:type="dxa"/>
          </w:tcPr>
          <w:p w:rsidR="001A2B59" w:rsidRPr="00D47DF8" w:rsidRDefault="001A2B59" w:rsidP="00C750D3">
            <w:pPr>
              <w:rPr>
                <w:rFonts w:ascii="Times New Roman" w:hAnsi="Times New Roman"/>
                <w:sz w:val="22"/>
              </w:rPr>
            </w:pPr>
            <w:r w:rsidRPr="00D47DF8">
              <w:rPr>
                <w:rFonts w:ascii="Times New Roman" w:hAnsi="Times New Roman"/>
                <w:sz w:val="22"/>
              </w:rPr>
              <w:t>Linear-product-quadratic features, PCA predictors, MCP background extent</w:t>
            </w:r>
            <w:r w:rsidR="009910B9">
              <w:rPr>
                <w:rFonts w:ascii="Times New Roman" w:hAnsi="Times New Roman"/>
                <w:sz w:val="22"/>
                <w:vertAlign w:val="superscript"/>
              </w:rPr>
              <w:t xml:space="preserve"> </w:t>
            </w:r>
            <w:r w:rsidR="009910B9">
              <w:rPr>
                <w:rFonts w:ascii="Times New Roman" w:hAnsi="Times New Roman"/>
                <w:sz w:val="22"/>
              </w:rPr>
              <w:t>(V2)</w:t>
            </w:r>
          </w:p>
        </w:tc>
        <w:tc>
          <w:tcPr>
            <w:tcW w:w="2410" w:type="dxa"/>
          </w:tcPr>
          <w:p w:rsidR="001A2B59" w:rsidRPr="00D47DF8" w:rsidRDefault="001A2B59" w:rsidP="00F400BD">
            <w:pPr>
              <w:rPr>
                <w:rFonts w:ascii="Times New Roman" w:hAnsi="Times New Roman"/>
                <w:sz w:val="22"/>
              </w:rPr>
            </w:pPr>
            <w:r>
              <w:rPr>
                <w:rFonts w:ascii="Times New Roman" w:hAnsi="Times New Roman"/>
                <w:sz w:val="22"/>
              </w:rPr>
              <w:t>30</w:t>
            </w:r>
          </w:p>
        </w:tc>
        <w:tc>
          <w:tcPr>
            <w:tcW w:w="992" w:type="dxa"/>
          </w:tcPr>
          <w:p w:rsidR="001A2B59" w:rsidRPr="00D47DF8" w:rsidRDefault="001A2B59">
            <w:pPr>
              <w:rPr>
                <w:rFonts w:ascii="Times New Roman" w:hAnsi="Times New Roman"/>
                <w:b/>
                <w:sz w:val="22"/>
              </w:rPr>
            </w:pPr>
            <w:r>
              <w:rPr>
                <w:rFonts w:ascii="Times New Roman" w:hAnsi="Times New Roman"/>
                <w:b/>
                <w:sz w:val="22"/>
              </w:rPr>
              <w:t>0.0022</w:t>
            </w:r>
          </w:p>
        </w:tc>
      </w:tr>
      <w:tr w:rsidR="001A2B59" w:rsidRPr="00D86281">
        <w:tc>
          <w:tcPr>
            <w:tcW w:w="1242" w:type="dxa"/>
            <w:vMerge/>
          </w:tcPr>
          <w:p w:rsidR="001A2B59" w:rsidRPr="00D47DF8" w:rsidRDefault="001A2B59">
            <w:pPr>
              <w:rPr>
                <w:rFonts w:ascii="Times New Roman" w:hAnsi="Times New Roman"/>
                <w:sz w:val="22"/>
              </w:rPr>
            </w:pPr>
          </w:p>
        </w:tc>
        <w:tc>
          <w:tcPr>
            <w:tcW w:w="4820" w:type="dxa"/>
          </w:tcPr>
          <w:p w:rsidR="001A2B59" w:rsidRPr="00D47DF8" w:rsidRDefault="001A2B59" w:rsidP="00C750D3">
            <w:pPr>
              <w:rPr>
                <w:rFonts w:ascii="Times New Roman" w:hAnsi="Times New Roman"/>
                <w:sz w:val="22"/>
              </w:rPr>
            </w:pPr>
            <w:r w:rsidRPr="00D47DF8">
              <w:rPr>
                <w:rFonts w:ascii="Times New Roman" w:hAnsi="Times New Roman"/>
                <w:sz w:val="22"/>
              </w:rPr>
              <w:t xml:space="preserve">Hinge features, PCA predictors, 200 km rectangular background extent </w:t>
            </w:r>
            <w:r w:rsidR="009910B9">
              <w:rPr>
                <w:rFonts w:ascii="Times New Roman" w:hAnsi="Times New Roman"/>
                <w:sz w:val="22"/>
              </w:rPr>
              <w:t>(V3)</w:t>
            </w:r>
          </w:p>
        </w:tc>
        <w:tc>
          <w:tcPr>
            <w:tcW w:w="2410" w:type="dxa"/>
          </w:tcPr>
          <w:p w:rsidR="001A2B59" w:rsidRPr="00D47DF8" w:rsidRDefault="001A2B59" w:rsidP="00F400BD">
            <w:pPr>
              <w:rPr>
                <w:rFonts w:ascii="Times New Roman" w:hAnsi="Times New Roman"/>
                <w:sz w:val="22"/>
              </w:rPr>
            </w:pPr>
            <w:r>
              <w:rPr>
                <w:rFonts w:ascii="Times New Roman" w:hAnsi="Times New Roman"/>
                <w:sz w:val="22"/>
              </w:rPr>
              <w:t>30</w:t>
            </w:r>
          </w:p>
        </w:tc>
        <w:tc>
          <w:tcPr>
            <w:tcW w:w="992" w:type="dxa"/>
          </w:tcPr>
          <w:p w:rsidR="001A2B59" w:rsidRPr="00D47DF8" w:rsidRDefault="001A2B59">
            <w:pPr>
              <w:rPr>
                <w:rFonts w:ascii="Times New Roman" w:hAnsi="Times New Roman"/>
                <w:b/>
                <w:sz w:val="22"/>
              </w:rPr>
            </w:pPr>
            <w:r>
              <w:rPr>
                <w:rFonts w:ascii="Times New Roman" w:hAnsi="Times New Roman"/>
                <w:b/>
                <w:sz w:val="22"/>
              </w:rPr>
              <w:t>0.0022</w:t>
            </w:r>
          </w:p>
        </w:tc>
      </w:tr>
      <w:tr w:rsidR="001A2B59" w:rsidRPr="00D86281">
        <w:tc>
          <w:tcPr>
            <w:tcW w:w="1242" w:type="dxa"/>
            <w:vMerge/>
          </w:tcPr>
          <w:p w:rsidR="001A2B59" w:rsidRPr="00D47DF8" w:rsidRDefault="001A2B59">
            <w:pPr>
              <w:rPr>
                <w:rFonts w:ascii="Times New Roman" w:hAnsi="Times New Roman"/>
                <w:sz w:val="22"/>
              </w:rPr>
            </w:pPr>
          </w:p>
        </w:tc>
        <w:tc>
          <w:tcPr>
            <w:tcW w:w="4820" w:type="dxa"/>
          </w:tcPr>
          <w:p w:rsidR="001A2B59" w:rsidRPr="00D47DF8" w:rsidRDefault="001A2B59" w:rsidP="00C750D3">
            <w:pPr>
              <w:rPr>
                <w:rFonts w:ascii="Times New Roman" w:hAnsi="Times New Roman"/>
                <w:sz w:val="22"/>
              </w:rPr>
            </w:pPr>
            <w:r w:rsidRPr="00D47DF8">
              <w:rPr>
                <w:rFonts w:ascii="Times New Roman" w:hAnsi="Times New Roman"/>
                <w:sz w:val="22"/>
              </w:rPr>
              <w:t xml:space="preserve">All features, all </w:t>
            </w:r>
            <w:proofErr w:type="spellStart"/>
            <w:r w:rsidRPr="00D47DF8">
              <w:rPr>
                <w:rFonts w:ascii="Times New Roman" w:hAnsi="Times New Roman"/>
                <w:smallCaps/>
                <w:sz w:val="22"/>
              </w:rPr>
              <w:t>bioclim</w:t>
            </w:r>
            <w:proofErr w:type="spellEnd"/>
            <w:r w:rsidRPr="00D47DF8">
              <w:rPr>
                <w:rFonts w:ascii="Times New Roman" w:hAnsi="Times New Roman"/>
                <w:smallCaps/>
                <w:sz w:val="22"/>
              </w:rPr>
              <w:t xml:space="preserve"> </w:t>
            </w:r>
            <w:r w:rsidRPr="00D47DF8">
              <w:rPr>
                <w:rFonts w:ascii="Times New Roman" w:hAnsi="Times New Roman"/>
                <w:sz w:val="22"/>
              </w:rPr>
              <w:t xml:space="preserve">predictors, 200 km rectangular background extent </w:t>
            </w:r>
            <w:r w:rsidR="009910B9">
              <w:rPr>
                <w:rFonts w:ascii="Times New Roman" w:hAnsi="Times New Roman"/>
                <w:sz w:val="22"/>
              </w:rPr>
              <w:t>(V4)</w:t>
            </w:r>
          </w:p>
        </w:tc>
        <w:tc>
          <w:tcPr>
            <w:tcW w:w="2410" w:type="dxa"/>
          </w:tcPr>
          <w:p w:rsidR="001A2B59" w:rsidRPr="00D47DF8" w:rsidRDefault="001A2B59" w:rsidP="00F400BD">
            <w:pPr>
              <w:rPr>
                <w:rFonts w:ascii="Times New Roman" w:hAnsi="Times New Roman"/>
                <w:sz w:val="22"/>
              </w:rPr>
            </w:pPr>
            <w:r>
              <w:rPr>
                <w:rFonts w:ascii="Times New Roman" w:hAnsi="Times New Roman"/>
                <w:sz w:val="22"/>
              </w:rPr>
              <w:t>27</w:t>
            </w:r>
          </w:p>
        </w:tc>
        <w:tc>
          <w:tcPr>
            <w:tcW w:w="992" w:type="dxa"/>
          </w:tcPr>
          <w:p w:rsidR="001A2B59" w:rsidRPr="00D47DF8" w:rsidRDefault="001A2B59" w:rsidP="00F400BD">
            <w:pPr>
              <w:rPr>
                <w:rFonts w:ascii="Times New Roman" w:hAnsi="Times New Roman"/>
                <w:b/>
                <w:sz w:val="22"/>
              </w:rPr>
            </w:pPr>
            <w:r>
              <w:rPr>
                <w:rFonts w:ascii="Times New Roman" w:hAnsi="Times New Roman"/>
                <w:b/>
                <w:sz w:val="22"/>
              </w:rPr>
              <w:t>0.038</w:t>
            </w:r>
          </w:p>
        </w:tc>
      </w:tr>
      <w:tr w:rsidR="001A2B59" w:rsidRPr="00D86281">
        <w:tc>
          <w:tcPr>
            <w:tcW w:w="1242" w:type="dxa"/>
            <w:vMerge/>
          </w:tcPr>
          <w:p w:rsidR="001A2B59" w:rsidRPr="00D47DF8" w:rsidRDefault="001A2B59">
            <w:pPr>
              <w:rPr>
                <w:rFonts w:ascii="Times New Roman" w:hAnsi="Times New Roman"/>
                <w:sz w:val="22"/>
              </w:rPr>
            </w:pPr>
          </w:p>
        </w:tc>
        <w:tc>
          <w:tcPr>
            <w:tcW w:w="4820" w:type="dxa"/>
          </w:tcPr>
          <w:p w:rsidR="001A2B59" w:rsidRPr="00D47DF8" w:rsidRDefault="001A2B59" w:rsidP="00C750D3">
            <w:pPr>
              <w:rPr>
                <w:rFonts w:ascii="Times New Roman" w:hAnsi="Times New Roman"/>
                <w:sz w:val="22"/>
              </w:rPr>
            </w:pPr>
            <w:r w:rsidRPr="00D47DF8">
              <w:rPr>
                <w:rFonts w:ascii="Times New Roman" w:hAnsi="Times New Roman"/>
                <w:sz w:val="22"/>
              </w:rPr>
              <w:t xml:space="preserve">Hinge features, PCA predictors, buffered points background extent </w:t>
            </w:r>
            <w:r w:rsidR="009910B9">
              <w:rPr>
                <w:rFonts w:ascii="Times New Roman" w:hAnsi="Times New Roman"/>
                <w:sz w:val="22"/>
              </w:rPr>
              <w:t>(V5)</w:t>
            </w:r>
          </w:p>
        </w:tc>
        <w:tc>
          <w:tcPr>
            <w:tcW w:w="2410" w:type="dxa"/>
          </w:tcPr>
          <w:p w:rsidR="001A2B59" w:rsidRPr="00D47DF8" w:rsidRDefault="001A2B59" w:rsidP="00F400BD">
            <w:pPr>
              <w:rPr>
                <w:rFonts w:ascii="Times New Roman" w:hAnsi="Times New Roman"/>
                <w:sz w:val="22"/>
              </w:rPr>
            </w:pPr>
            <w:r>
              <w:rPr>
                <w:rFonts w:ascii="Times New Roman" w:hAnsi="Times New Roman"/>
                <w:sz w:val="22"/>
              </w:rPr>
              <w:t>29</w:t>
            </w:r>
          </w:p>
        </w:tc>
        <w:tc>
          <w:tcPr>
            <w:tcW w:w="992" w:type="dxa"/>
          </w:tcPr>
          <w:p w:rsidR="001A2B59" w:rsidRPr="00D47DF8" w:rsidRDefault="001A2B59" w:rsidP="00F400BD">
            <w:pPr>
              <w:rPr>
                <w:rFonts w:ascii="Times New Roman" w:hAnsi="Times New Roman"/>
                <w:b/>
                <w:sz w:val="22"/>
              </w:rPr>
            </w:pPr>
            <w:r>
              <w:rPr>
                <w:rFonts w:ascii="Times New Roman" w:hAnsi="Times New Roman"/>
                <w:b/>
                <w:sz w:val="22"/>
              </w:rPr>
              <w:t>0.0064</w:t>
            </w:r>
          </w:p>
        </w:tc>
      </w:tr>
      <w:tr w:rsidR="001A2B59" w:rsidRPr="00D86281">
        <w:tc>
          <w:tcPr>
            <w:tcW w:w="1242" w:type="dxa"/>
            <w:vMerge/>
          </w:tcPr>
          <w:p w:rsidR="001A2B59" w:rsidRPr="00D47DF8" w:rsidRDefault="001A2B59">
            <w:pPr>
              <w:rPr>
                <w:rFonts w:ascii="Times New Roman" w:hAnsi="Times New Roman"/>
                <w:sz w:val="22"/>
              </w:rPr>
            </w:pPr>
          </w:p>
        </w:tc>
        <w:tc>
          <w:tcPr>
            <w:tcW w:w="4820" w:type="dxa"/>
          </w:tcPr>
          <w:p w:rsidR="001A2B59" w:rsidRPr="00D47DF8" w:rsidRDefault="001A2B59" w:rsidP="00C750D3">
            <w:pPr>
              <w:rPr>
                <w:rFonts w:ascii="Times New Roman" w:hAnsi="Times New Roman"/>
                <w:sz w:val="22"/>
              </w:rPr>
            </w:pPr>
            <w:r w:rsidRPr="00D47DF8">
              <w:rPr>
                <w:rFonts w:ascii="Times New Roman" w:hAnsi="Times New Roman"/>
                <w:sz w:val="22"/>
              </w:rPr>
              <w:t>Linear-product-quadratic features, PCA predictors, buffered points background extent</w:t>
            </w:r>
            <w:r w:rsidR="009910B9">
              <w:rPr>
                <w:rFonts w:ascii="Times New Roman" w:hAnsi="Times New Roman"/>
                <w:sz w:val="22"/>
              </w:rPr>
              <w:t xml:space="preserve"> (V6)</w:t>
            </w:r>
          </w:p>
        </w:tc>
        <w:tc>
          <w:tcPr>
            <w:tcW w:w="2410" w:type="dxa"/>
          </w:tcPr>
          <w:p w:rsidR="001A2B59" w:rsidRPr="00D47DF8" w:rsidRDefault="001A2B59" w:rsidP="00F400BD">
            <w:pPr>
              <w:rPr>
                <w:rFonts w:ascii="Times New Roman" w:hAnsi="Times New Roman"/>
                <w:sz w:val="22"/>
              </w:rPr>
            </w:pPr>
            <w:r>
              <w:rPr>
                <w:rFonts w:ascii="Times New Roman" w:hAnsi="Times New Roman"/>
                <w:sz w:val="22"/>
              </w:rPr>
              <w:t>27</w:t>
            </w:r>
          </w:p>
        </w:tc>
        <w:tc>
          <w:tcPr>
            <w:tcW w:w="992" w:type="dxa"/>
          </w:tcPr>
          <w:p w:rsidR="001A2B59" w:rsidRPr="00D47DF8" w:rsidRDefault="001A2B59" w:rsidP="00F400BD">
            <w:pPr>
              <w:rPr>
                <w:rFonts w:ascii="Times New Roman" w:hAnsi="Times New Roman"/>
                <w:b/>
                <w:sz w:val="22"/>
              </w:rPr>
            </w:pPr>
            <w:r>
              <w:rPr>
                <w:rFonts w:ascii="Times New Roman" w:hAnsi="Times New Roman"/>
                <w:b/>
                <w:sz w:val="22"/>
              </w:rPr>
              <w:t>0.038</w:t>
            </w:r>
          </w:p>
        </w:tc>
      </w:tr>
      <w:tr w:rsidR="001A2B59" w:rsidRPr="00D86281">
        <w:tc>
          <w:tcPr>
            <w:tcW w:w="1242" w:type="dxa"/>
            <w:vMerge w:val="restart"/>
            <w:tcBorders>
              <w:top w:val="single" w:sz="4" w:space="0" w:color="000000" w:themeColor="text1"/>
            </w:tcBorders>
          </w:tcPr>
          <w:p w:rsidR="001A2B59" w:rsidRDefault="001A2B59" w:rsidP="00F400BD">
            <w:pPr>
              <w:rPr>
                <w:rFonts w:ascii="Times New Roman" w:hAnsi="Times New Roman"/>
                <w:sz w:val="22"/>
              </w:rPr>
            </w:pPr>
            <w:r>
              <w:rPr>
                <w:rFonts w:ascii="Times New Roman" w:hAnsi="Times New Roman"/>
                <w:sz w:val="22"/>
              </w:rPr>
              <w:t>Horizontal</w:t>
            </w:r>
          </w:p>
          <w:p w:rsidR="001A2B59" w:rsidRPr="00D47DF8" w:rsidRDefault="001A2B59" w:rsidP="00F400BD">
            <w:pPr>
              <w:rPr>
                <w:rFonts w:ascii="Times New Roman" w:hAnsi="Times New Roman"/>
                <w:sz w:val="22"/>
              </w:rPr>
            </w:pPr>
            <w:r>
              <w:rPr>
                <w:rFonts w:ascii="Times New Roman" w:hAnsi="Times New Roman"/>
                <w:sz w:val="22"/>
              </w:rPr>
              <w:t>(N = 25)</w:t>
            </w:r>
          </w:p>
        </w:tc>
        <w:tc>
          <w:tcPr>
            <w:tcW w:w="4820" w:type="dxa"/>
            <w:tcBorders>
              <w:top w:val="single" w:sz="4" w:space="0" w:color="000000" w:themeColor="text1"/>
            </w:tcBorders>
          </w:tcPr>
          <w:p w:rsidR="001A2B59" w:rsidRPr="00D47DF8" w:rsidRDefault="001A2B59" w:rsidP="00C750D3">
            <w:pPr>
              <w:rPr>
                <w:rFonts w:ascii="Times New Roman" w:hAnsi="Times New Roman"/>
                <w:sz w:val="22"/>
              </w:rPr>
            </w:pPr>
            <w:r w:rsidRPr="00D47DF8">
              <w:rPr>
                <w:rFonts w:ascii="Times New Roman" w:hAnsi="Times New Roman"/>
                <w:sz w:val="22"/>
              </w:rPr>
              <w:t xml:space="preserve">Hinge features, PCA predictors, MCP background extent </w:t>
            </w:r>
            <w:r w:rsidR="009910B9">
              <w:rPr>
                <w:rFonts w:ascii="Times New Roman" w:hAnsi="Times New Roman"/>
                <w:sz w:val="22"/>
              </w:rPr>
              <w:t>(V1)</w:t>
            </w:r>
          </w:p>
        </w:tc>
        <w:tc>
          <w:tcPr>
            <w:tcW w:w="2410" w:type="dxa"/>
            <w:tcBorders>
              <w:top w:val="single" w:sz="4" w:space="0" w:color="000000" w:themeColor="text1"/>
            </w:tcBorders>
          </w:tcPr>
          <w:p w:rsidR="001A2B59" w:rsidRPr="00D47DF8" w:rsidRDefault="001A2B59" w:rsidP="00F400BD">
            <w:pPr>
              <w:rPr>
                <w:rFonts w:ascii="Times New Roman" w:hAnsi="Times New Roman"/>
                <w:color w:val="000000" w:themeColor="text1"/>
                <w:sz w:val="22"/>
              </w:rPr>
            </w:pPr>
            <w:r>
              <w:rPr>
                <w:rFonts w:ascii="Times New Roman" w:hAnsi="Times New Roman"/>
                <w:color w:val="000000" w:themeColor="text1"/>
                <w:sz w:val="22"/>
              </w:rPr>
              <w:t>17</w:t>
            </w:r>
          </w:p>
        </w:tc>
        <w:tc>
          <w:tcPr>
            <w:tcW w:w="992" w:type="dxa"/>
            <w:tcBorders>
              <w:top w:val="single" w:sz="4" w:space="0" w:color="000000" w:themeColor="text1"/>
            </w:tcBorders>
          </w:tcPr>
          <w:p w:rsidR="001A2B59" w:rsidRPr="008C6919" w:rsidRDefault="001A2B59" w:rsidP="00F400BD">
            <w:pPr>
              <w:rPr>
                <w:rFonts w:ascii="Times New Roman" w:hAnsi="Times New Roman"/>
                <w:color w:val="000000" w:themeColor="text1"/>
                <w:sz w:val="22"/>
              </w:rPr>
            </w:pPr>
            <w:r w:rsidRPr="008C6919">
              <w:rPr>
                <w:rFonts w:ascii="Times New Roman" w:hAnsi="Times New Roman"/>
                <w:color w:val="000000" w:themeColor="text1"/>
                <w:sz w:val="22"/>
              </w:rPr>
              <w:t>0.11</w:t>
            </w:r>
          </w:p>
        </w:tc>
      </w:tr>
      <w:tr w:rsidR="001A2B59" w:rsidRPr="00D86281">
        <w:tc>
          <w:tcPr>
            <w:tcW w:w="1242" w:type="dxa"/>
            <w:vMerge/>
          </w:tcPr>
          <w:p w:rsidR="001A2B59" w:rsidRPr="00D47DF8" w:rsidRDefault="001A2B59">
            <w:pPr>
              <w:rPr>
                <w:rFonts w:ascii="Times New Roman" w:hAnsi="Times New Roman"/>
                <w:sz w:val="22"/>
              </w:rPr>
            </w:pPr>
          </w:p>
        </w:tc>
        <w:tc>
          <w:tcPr>
            <w:tcW w:w="4820" w:type="dxa"/>
          </w:tcPr>
          <w:p w:rsidR="001A2B59" w:rsidRPr="00D47DF8" w:rsidRDefault="001A2B59" w:rsidP="00C750D3">
            <w:pPr>
              <w:rPr>
                <w:rFonts w:ascii="Times New Roman" w:hAnsi="Times New Roman"/>
                <w:sz w:val="22"/>
              </w:rPr>
            </w:pPr>
            <w:r w:rsidRPr="00D47DF8">
              <w:rPr>
                <w:rFonts w:ascii="Times New Roman" w:hAnsi="Times New Roman"/>
                <w:sz w:val="22"/>
              </w:rPr>
              <w:t>Linear-product-quadratic features, PCA predictors, MCP background extent</w:t>
            </w:r>
            <w:r w:rsidR="009910B9">
              <w:rPr>
                <w:rFonts w:ascii="Times New Roman" w:hAnsi="Times New Roman"/>
                <w:sz w:val="22"/>
              </w:rPr>
              <w:t xml:space="preserve"> (V2)</w:t>
            </w:r>
            <w:r w:rsidRPr="00D47DF8">
              <w:rPr>
                <w:rFonts w:ascii="Times New Roman" w:hAnsi="Times New Roman"/>
                <w:sz w:val="22"/>
                <w:vertAlign w:val="superscript"/>
              </w:rPr>
              <w:t xml:space="preserve"> </w:t>
            </w:r>
          </w:p>
        </w:tc>
        <w:tc>
          <w:tcPr>
            <w:tcW w:w="2410" w:type="dxa"/>
          </w:tcPr>
          <w:p w:rsidR="001A2B59" w:rsidRPr="00D47DF8" w:rsidRDefault="001A2B59" w:rsidP="00F400BD">
            <w:pPr>
              <w:rPr>
                <w:rFonts w:ascii="Times New Roman" w:hAnsi="Times New Roman"/>
                <w:sz w:val="22"/>
              </w:rPr>
            </w:pPr>
            <w:r>
              <w:rPr>
                <w:rFonts w:ascii="Times New Roman" w:hAnsi="Times New Roman"/>
                <w:sz w:val="22"/>
              </w:rPr>
              <w:t>17</w:t>
            </w:r>
          </w:p>
        </w:tc>
        <w:tc>
          <w:tcPr>
            <w:tcW w:w="992" w:type="dxa"/>
          </w:tcPr>
          <w:p w:rsidR="001A2B59" w:rsidRPr="00381973" w:rsidRDefault="001A2B59" w:rsidP="00F400BD">
            <w:pPr>
              <w:rPr>
                <w:rFonts w:ascii="Times New Roman" w:hAnsi="Times New Roman"/>
                <w:sz w:val="22"/>
              </w:rPr>
            </w:pPr>
            <w:r w:rsidRPr="00381973">
              <w:rPr>
                <w:rFonts w:ascii="Times New Roman" w:hAnsi="Times New Roman"/>
                <w:sz w:val="22"/>
              </w:rPr>
              <w:t>0.11</w:t>
            </w:r>
          </w:p>
        </w:tc>
      </w:tr>
      <w:tr w:rsidR="001A2B59" w:rsidRPr="00D86281">
        <w:tc>
          <w:tcPr>
            <w:tcW w:w="1242" w:type="dxa"/>
            <w:vMerge/>
          </w:tcPr>
          <w:p w:rsidR="001A2B59" w:rsidRPr="00D47DF8" w:rsidRDefault="001A2B59">
            <w:pPr>
              <w:rPr>
                <w:rFonts w:ascii="Times New Roman" w:hAnsi="Times New Roman"/>
                <w:sz w:val="22"/>
              </w:rPr>
            </w:pPr>
          </w:p>
        </w:tc>
        <w:tc>
          <w:tcPr>
            <w:tcW w:w="4820" w:type="dxa"/>
          </w:tcPr>
          <w:p w:rsidR="001A2B59" w:rsidRPr="00D47DF8" w:rsidRDefault="001A2B59" w:rsidP="00C750D3">
            <w:pPr>
              <w:rPr>
                <w:rFonts w:ascii="Times New Roman" w:hAnsi="Times New Roman"/>
                <w:sz w:val="22"/>
              </w:rPr>
            </w:pPr>
            <w:r w:rsidRPr="00D47DF8">
              <w:rPr>
                <w:rFonts w:ascii="Times New Roman" w:hAnsi="Times New Roman"/>
                <w:sz w:val="22"/>
              </w:rPr>
              <w:t xml:space="preserve">Hinge features, PCA predictors, 200 km rectangular background extent </w:t>
            </w:r>
            <w:r w:rsidR="009910B9">
              <w:rPr>
                <w:rFonts w:ascii="Times New Roman" w:hAnsi="Times New Roman"/>
                <w:sz w:val="22"/>
              </w:rPr>
              <w:t>(V3)</w:t>
            </w:r>
          </w:p>
        </w:tc>
        <w:tc>
          <w:tcPr>
            <w:tcW w:w="2410" w:type="dxa"/>
          </w:tcPr>
          <w:p w:rsidR="001A2B59" w:rsidRPr="00D47DF8" w:rsidRDefault="001A2B59" w:rsidP="00F400BD">
            <w:pPr>
              <w:rPr>
                <w:rFonts w:ascii="Times New Roman" w:hAnsi="Times New Roman"/>
                <w:sz w:val="22"/>
              </w:rPr>
            </w:pPr>
            <w:r>
              <w:rPr>
                <w:rFonts w:ascii="Times New Roman" w:hAnsi="Times New Roman"/>
                <w:sz w:val="22"/>
              </w:rPr>
              <w:t>16</w:t>
            </w:r>
          </w:p>
        </w:tc>
        <w:tc>
          <w:tcPr>
            <w:tcW w:w="992" w:type="dxa"/>
          </w:tcPr>
          <w:p w:rsidR="001A2B59" w:rsidRPr="00D47DF8" w:rsidRDefault="001A2B59" w:rsidP="00F400BD">
            <w:pPr>
              <w:rPr>
                <w:rFonts w:ascii="Times New Roman" w:hAnsi="Times New Roman"/>
                <w:sz w:val="22"/>
              </w:rPr>
            </w:pPr>
            <w:r>
              <w:rPr>
                <w:rFonts w:ascii="Times New Roman" w:hAnsi="Times New Roman"/>
                <w:sz w:val="22"/>
              </w:rPr>
              <w:t>0.23</w:t>
            </w:r>
          </w:p>
        </w:tc>
      </w:tr>
      <w:tr w:rsidR="001A2B59" w:rsidRPr="00D86281">
        <w:tc>
          <w:tcPr>
            <w:tcW w:w="1242" w:type="dxa"/>
            <w:vMerge/>
          </w:tcPr>
          <w:p w:rsidR="001A2B59" w:rsidRPr="00D47DF8" w:rsidRDefault="001A2B59">
            <w:pPr>
              <w:rPr>
                <w:rFonts w:ascii="Times New Roman" w:hAnsi="Times New Roman"/>
                <w:sz w:val="22"/>
              </w:rPr>
            </w:pPr>
          </w:p>
        </w:tc>
        <w:tc>
          <w:tcPr>
            <w:tcW w:w="4820" w:type="dxa"/>
          </w:tcPr>
          <w:p w:rsidR="001A2B59" w:rsidRPr="00D47DF8" w:rsidRDefault="001A2B59" w:rsidP="00C750D3">
            <w:pPr>
              <w:rPr>
                <w:rFonts w:ascii="Times New Roman" w:hAnsi="Times New Roman"/>
                <w:sz w:val="22"/>
              </w:rPr>
            </w:pPr>
            <w:r w:rsidRPr="00D47DF8">
              <w:rPr>
                <w:rFonts w:ascii="Times New Roman" w:hAnsi="Times New Roman"/>
                <w:sz w:val="22"/>
              </w:rPr>
              <w:t xml:space="preserve">All features, all </w:t>
            </w:r>
            <w:proofErr w:type="spellStart"/>
            <w:r w:rsidRPr="00D47DF8">
              <w:rPr>
                <w:rFonts w:ascii="Times New Roman" w:hAnsi="Times New Roman"/>
                <w:smallCaps/>
                <w:sz w:val="22"/>
              </w:rPr>
              <w:t>bioclim</w:t>
            </w:r>
            <w:proofErr w:type="spellEnd"/>
            <w:r w:rsidRPr="00D47DF8">
              <w:rPr>
                <w:rFonts w:ascii="Times New Roman" w:hAnsi="Times New Roman"/>
                <w:smallCaps/>
                <w:sz w:val="22"/>
              </w:rPr>
              <w:t xml:space="preserve"> </w:t>
            </w:r>
            <w:r w:rsidRPr="00D47DF8">
              <w:rPr>
                <w:rFonts w:ascii="Times New Roman" w:hAnsi="Times New Roman"/>
                <w:sz w:val="22"/>
              </w:rPr>
              <w:t xml:space="preserve">predictors, 200 km rectangular background extent </w:t>
            </w:r>
            <w:r w:rsidR="009910B9">
              <w:rPr>
                <w:rFonts w:ascii="Times New Roman" w:hAnsi="Times New Roman"/>
                <w:sz w:val="22"/>
              </w:rPr>
              <w:t>(V4)</w:t>
            </w:r>
          </w:p>
        </w:tc>
        <w:tc>
          <w:tcPr>
            <w:tcW w:w="2410" w:type="dxa"/>
          </w:tcPr>
          <w:p w:rsidR="001A2B59" w:rsidRPr="00D47DF8" w:rsidRDefault="001A2B59" w:rsidP="00F400BD">
            <w:pPr>
              <w:rPr>
                <w:rFonts w:ascii="Times New Roman" w:hAnsi="Times New Roman"/>
                <w:sz w:val="22"/>
              </w:rPr>
            </w:pPr>
            <w:r>
              <w:rPr>
                <w:rFonts w:ascii="Times New Roman" w:hAnsi="Times New Roman"/>
                <w:sz w:val="22"/>
              </w:rPr>
              <w:t>15</w:t>
            </w:r>
          </w:p>
        </w:tc>
        <w:tc>
          <w:tcPr>
            <w:tcW w:w="992" w:type="dxa"/>
          </w:tcPr>
          <w:p w:rsidR="001A2B59" w:rsidRPr="00D47DF8" w:rsidRDefault="001A2B59" w:rsidP="00F400BD">
            <w:pPr>
              <w:rPr>
                <w:rFonts w:ascii="Times New Roman" w:hAnsi="Times New Roman"/>
                <w:sz w:val="22"/>
              </w:rPr>
            </w:pPr>
            <w:r>
              <w:rPr>
                <w:rFonts w:ascii="Times New Roman" w:hAnsi="Times New Roman"/>
                <w:sz w:val="22"/>
              </w:rPr>
              <w:t>0.42</w:t>
            </w:r>
          </w:p>
        </w:tc>
      </w:tr>
      <w:tr w:rsidR="001A2B59" w:rsidRPr="00D86281">
        <w:tc>
          <w:tcPr>
            <w:tcW w:w="1242" w:type="dxa"/>
            <w:vMerge/>
          </w:tcPr>
          <w:p w:rsidR="001A2B59" w:rsidRPr="00D47DF8" w:rsidRDefault="001A2B59">
            <w:pPr>
              <w:rPr>
                <w:rFonts w:ascii="Times New Roman" w:hAnsi="Times New Roman"/>
                <w:sz w:val="22"/>
              </w:rPr>
            </w:pPr>
          </w:p>
        </w:tc>
        <w:tc>
          <w:tcPr>
            <w:tcW w:w="4820" w:type="dxa"/>
          </w:tcPr>
          <w:p w:rsidR="001A2B59" w:rsidRPr="00D47DF8" w:rsidRDefault="001A2B59" w:rsidP="00C750D3">
            <w:pPr>
              <w:rPr>
                <w:rFonts w:ascii="Times New Roman" w:hAnsi="Times New Roman"/>
                <w:sz w:val="22"/>
              </w:rPr>
            </w:pPr>
            <w:r w:rsidRPr="00D47DF8">
              <w:rPr>
                <w:rFonts w:ascii="Times New Roman" w:hAnsi="Times New Roman"/>
                <w:sz w:val="22"/>
              </w:rPr>
              <w:t xml:space="preserve">Hinge features, PCA predictors, buffered points background extent </w:t>
            </w:r>
            <w:r w:rsidR="009910B9">
              <w:rPr>
                <w:rFonts w:ascii="Times New Roman" w:hAnsi="Times New Roman"/>
                <w:sz w:val="22"/>
              </w:rPr>
              <w:t>(V5)</w:t>
            </w:r>
          </w:p>
        </w:tc>
        <w:tc>
          <w:tcPr>
            <w:tcW w:w="2410" w:type="dxa"/>
          </w:tcPr>
          <w:p w:rsidR="001A2B59" w:rsidRPr="00D47DF8" w:rsidRDefault="001A2B59" w:rsidP="00F400BD">
            <w:pPr>
              <w:rPr>
                <w:rFonts w:ascii="Times New Roman" w:hAnsi="Times New Roman"/>
                <w:sz w:val="22"/>
              </w:rPr>
            </w:pPr>
            <w:r>
              <w:rPr>
                <w:rFonts w:ascii="Times New Roman" w:hAnsi="Times New Roman"/>
                <w:sz w:val="22"/>
              </w:rPr>
              <w:t>15</w:t>
            </w:r>
          </w:p>
        </w:tc>
        <w:tc>
          <w:tcPr>
            <w:tcW w:w="992" w:type="dxa"/>
          </w:tcPr>
          <w:p w:rsidR="001A2B59" w:rsidRPr="00D47DF8" w:rsidRDefault="001A2B59" w:rsidP="00F400BD">
            <w:pPr>
              <w:rPr>
                <w:rFonts w:ascii="Times New Roman" w:hAnsi="Times New Roman"/>
                <w:sz w:val="22"/>
              </w:rPr>
            </w:pPr>
            <w:r>
              <w:rPr>
                <w:rFonts w:ascii="Times New Roman" w:hAnsi="Times New Roman"/>
                <w:sz w:val="22"/>
              </w:rPr>
              <w:t>0.42</w:t>
            </w:r>
          </w:p>
        </w:tc>
      </w:tr>
      <w:tr w:rsidR="001A2B59" w:rsidRPr="00D86281">
        <w:tc>
          <w:tcPr>
            <w:tcW w:w="1242" w:type="dxa"/>
            <w:vMerge/>
            <w:tcBorders>
              <w:bottom w:val="single" w:sz="4" w:space="0" w:color="auto"/>
            </w:tcBorders>
          </w:tcPr>
          <w:p w:rsidR="001A2B59" w:rsidRPr="00D47DF8" w:rsidRDefault="001A2B59">
            <w:pPr>
              <w:rPr>
                <w:rFonts w:ascii="Times New Roman" w:hAnsi="Times New Roman"/>
                <w:sz w:val="22"/>
              </w:rPr>
            </w:pPr>
          </w:p>
        </w:tc>
        <w:tc>
          <w:tcPr>
            <w:tcW w:w="4820" w:type="dxa"/>
            <w:tcBorders>
              <w:bottom w:val="single" w:sz="4" w:space="0" w:color="auto"/>
            </w:tcBorders>
          </w:tcPr>
          <w:p w:rsidR="001A2B59" w:rsidRPr="00D47DF8" w:rsidRDefault="001A2B59" w:rsidP="00C750D3">
            <w:pPr>
              <w:rPr>
                <w:rFonts w:ascii="Times New Roman" w:hAnsi="Times New Roman"/>
                <w:sz w:val="22"/>
              </w:rPr>
            </w:pPr>
            <w:r w:rsidRPr="00D47DF8">
              <w:rPr>
                <w:rFonts w:ascii="Times New Roman" w:hAnsi="Times New Roman"/>
                <w:sz w:val="22"/>
              </w:rPr>
              <w:t>Linear-product-quadratic features, PCA predictors, buffered points background extent</w:t>
            </w:r>
            <w:r w:rsidR="009910B9">
              <w:rPr>
                <w:rFonts w:ascii="Times New Roman" w:hAnsi="Times New Roman"/>
                <w:sz w:val="22"/>
              </w:rPr>
              <w:t xml:space="preserve"> (V6)</w:t>
            </w:r>
            <w:r w:rsidRPr="00D47DF8">
              <w:rPr>
                <w:rFonts w:ascii="Times New Roman" w:hAnsi="Times New Roman"/>
                <w:sz w:val="22"/>
                <w:vertAlign w:val="superscript"/>
              </w:rPr>
              <w:t xml:space="preserve"> </w:t>
            </w:r>
          </w:p>
        </w:tc>
        <w:tc>
          <w:tcPr>
            <w:tcW w:w="2410" w:type="dxa"/>
            <w:tcBorders>
              <w:bottom w:val="single" w:sz="4" w:space="0" w:color="auto"/>
            </w:tcBorders>
          </w:tcPr>
          <w:p w:rsidR="001A2B59" w:rsidRPr="00D47DF8" w:rsidRDefault="001A2B59" w:rsidP="00F400BD">
            <w:pPr>
              <w:rPr>
                <w:rFonts w:ascii="Times New Roman" w:hAnsi="Times New Roman"/>
                <w:sz w:val="22"/>
              </w:rPr>
            </w:pPr>
            <w:r>
              <w:rPr>
                <w:rFonts w:ascii="Times New Roman" w:hAnsi="Times New Roman"/>
                <w:sz w:val="22"/>
              </w:rPr>
              <w:t>15</w:t>
            </w:r>
          </w:p>
        </w:tc>
        <w:tc>
          <w:tcPr>
            <w:tcW w:w="992" w:type="dxa"/>
            <w:tcBorders>
              <w:bottom w:val="single" w:sz="4" w:space="0" w:color="auto"/>
            </w:tcBorders>
          </w:tcPr>
          <w:p w:rsidR="001A2B59" w:rsidRPr="00D47DF8" w:rsidRDefault="001A2B59" w:rsidP="00F400BD">
            <w:pPr>
              <w:rPr>
                <w:rFonts w:ascii="Times New Roman" w:hAnsi="Times New Roman"/>
                <w:sz w:val="22"/>
              </w:rPr>
            </w:pPr>
            <w:r>
              <w:rPr>
                <w:rFonts w:ascii="Times New Roman" w:hAnsi="Times New Roman"/>
                <w:sz w:val="22"/>
              </w:rPr>
              <w:t>0.42</w:t>
            </w:r>
          </w:p>
        </w:tc>
      </w:tr>
      <w:tr w:rsidR="001A2B59" w:rsidRPr="00D86281">
        <w:tc>
          <w:tcPr>
            <w:tcW w:w="1242" w:type="dxa"/>
            <w:vMerge w:val="restart"/>
            <w:tcBorders>
              <w:top w:val="single" w:sz="4" w:space="0" w:color="auto"/>
            </w:tcBorders>
          </w:tcPr>
          <w:p w:rsidR="001A2B59" w:rsidRDefault="001A2B59" w:rsidP="00F400BD">
            <w:pPr>
              <w:rPr>
                <w:rFonts w:ascii="Times New Roman" w:hAnsi="Times New Roman"/>
                <w:sz w:val="22"/>
              </w:rPr>
            </w:pPr>
            <w:r>
              <w:rPr>
                <w:rFonts w:ascii="Times New Roman" w:hAnsi="Times New Roman"/>
                <w:sz w:val="22"/>
              </w:rPr>
              <w:t>Vertical</w:t>
            </w:r>
          </w:p>
          <w:p w:rsidR="001A2B59" w:rsidRPr="00D47DF8" w:rsidRDefault="001A2B59" w:rsidP="00F400BD">
            <w:pPr>
              <w:rPr>
                <w:rFonts w:ascii="Times New Roman" w:hAnsi="Times New Roman"/>
                <w:sz w:val="22"/>
              </w:rPr>
            </w:pPr>
            <w:r>
              <w:rPr>
                <w:rFonts w:ascii="Times New Roman" w:hAnsi="Times New Roman"/>
                <w:sz w:val="22"/>
              </w:rPr>
              <w:t>(N = 19)</w:t>
            </w:r>
          </w:p>
        </w:tc>
        <w:tc>
          <w:tcPr>
            <w:tcW w:w="4820" w:type="dxa"/>
            <w:tcBorders>
              <w:top w:val="single" w:sz="4" w:space="0" w:color="auto"/>
            </w:tcBorders>
          </w:tcPr>
          <w:p w:rsidR="001A2B59" w:rsidRPr="00D47DF8" w:rsidRDefault="001A2B59" w:rsidP="00C750D3">
            <w:pPr>
              <w:rPr>
                <w:rFonts w:ascii="Times New Roman" w:hAnsi="Times New Roman"/>
                <w:sz w:val="22"/>
              </w:rPr>
            </w:pPr>
            <w:r w:rsidRPr="00D47DF8">
              <w:rPr>
                <w:rFonts w:ascii="Times New Roman" w:hAnsi="Times New Roman"/>
                <w:sz w:val="22"/>
              </w:rPr>
              <w:t>Hinge features, PCA predi</w:t>
            </w:r>
            <w:r>
              <w:rPr>
                <w:rFonts w:ascii="Times New Roman" w:hAnsi="Times New Roman"/>
                <w:sz w:val="22"/>
              </w:rPr>
              <w:t>ctors, MCP background extent</w:t>
            </w:r>
            <w:r w:rsidR="009910B9">
              <w:rPr>
                <w:rFonts w:ascii="Times New Roman" w:hAnsi="Times New Roman"/>
                <w:sz w:val="22"/>
              </w:rPr>
              <w:t xml:space="preserve"> (V1)</w:t>
            </w:r>
          </w:p>
        </w:tc>
        <w:tc>
          <w:tcPr>
            <w:tcW w:w="2410" w:type="dxa"/>
            <w:tcBorders>
              <w:top w:val="single" w:sz="4" w:space="0" w:color="auto"/>
            </w:tcBorders>
          </w:tcPr>
          <w:p w:rsidR="001A2B59" w:rsidRPr="00D47DF8" w:rsidRDefault="001A2B59" w:rsidP="00F400BD">
            <w:pPr>
              <w:rPr>
                <w:rFonts w:ascii="Times New Roman" w:hAnsi="Times New Roman"/>
                <w:color w:val="000000" w:themeColor="text1"/>
                <w:sz w:val="22"/>
              </w:rPr>
            </w:pPr>
            <w:r>
              <w:rPr>
                <w:rFonts w:ascii="Times New Roman" w:hAnsi="Times New Roman"/>
                <w:color w:val="000000" w:themeColor="text1"/>
                <w:sz w:val="22"/>
              </w:rPr>
              <w:t>15</w:t>
            </w:r>
          </w:p>
        </w:tc>
        <w:tc>
          <w:tcPr>
            <w:tcW w:w="992" w:type="dxa"/>
            <w:tcBorders>
              <w:top w:val="single" w:sz="4" w:space="0" w:color="auto"/>
            </w:tcBorders>
          </w:tcPr>
          <w:p w:rsidR="001A2B59" w:rsidRPr="00D47DF8" w:rsidRDefault="001A2B59" w:rsidP="00F400BD">
            <w:pPr>
              <w:rPr>
                <w:rFonts w:ascii="Times New Roman" w:hAnsi="Times New Roman"/>
                <w:b/>
                <w:color w:val="000000" w:themeColor="text1"/>
                <w:sz w:val="22"/>
              </w:rPr>
            </w:pPr>
            <w:r>
              <w:rPr>
                <w:rFonts w:ascii="Times New Roman" w:hAnsi="Times New Roman"/>
                <w:b/>
                <w:color w:val="000000" w:themeColor="text1"/>
                <w:sz w:val="22"/>
              </w:rPr>
              <w:t>0.019</w:t>
            </w:r>
          </w:p>
        </w:tc>
      </w:tr>
      <w:tr w:rsidR="001A2B59" w:rsidRPr="00D86281">
        <w:tc>
          <w:tcPr>
            <w:tcW w:w="1242" w:type="dxa"/>
            <w:vMerge/>
          </w:tcPr>
          <w:p w:rsidR="001A2B59" w:rsidRPr="00D47DF8" w:rsidRDefault="001A2B59" w:rsidP="00F400BD">
            <w:pPr>
              <w:rPr>
                <w:rFonts w:ascii="Times New Roman" w:hAnsi="Times New Roman"/>
                <w:sz w:val="22"/>
              </w:rPr>
            </w:pPr>
          </w:p>
        </w:tc>
        <w:tc>
          <w:tcPr>
            <w:tcW w:w="4820" w:type="dxa"/>
          </w:tcPr>
          <w:p w:rsidR="001A2B59" w:rsidRPr="00D47DF8" w:rsidRDefault="001A2B59" w:rsidP="00C750D3">
            <w:pPr>
              <w:rPr>
                <w:rFonts w:ascii="Times New Roman" w:hAnsi="Times New Roman"/>
                <w:sz w:val="22"/>
              </w:rPr>
            </w:pPr>
            <w:r w:rsidRPr="00D47DF8">
              <w:rPr>
                <w:rFonts w:ascii="Times New Roman" w:hAnsi="Times New Roman"/>
                <w:sz w:val="22"/>
              </w:rPr>
              <w:t>Linear-product-quadratic features, PCA predictors, MCP background extent</w:t>
            </w:r>
            <w:r w:rsidR="009910B9">
              <w:rPr>
                <w:rFonts w:ascii="Times New Roman" w:hAnsi="Times New Roman"/>
                <w:sz w:val="22"/>
              </w:rPr>
              <w:t xml:space="preserve"> (V2)</w:t>
            </w:r>
            <w:r w:rsidRPr="00D47DF8">
              <w:rPr>
                <w:rFonts w:ascii="Times New Roman" w:hAnsi="Times New Roman"/>
                <w:sz w:val="22"/>
                <w:vertAlign w:val="superscript"/>
              </w:rPr>
              <w:t xml:space="preserve"> </w:t>
            </w:r>
          </w:p>
        </w:tc>
        <w:tc>
          <w:tcPr>
            <w:tcW w:w="2410" w:type="dxa"/>
          </w:tcPr>
          <w:p w:rsidR="001A2B59" w:rsidRPr="00D47DF8" w:rsidRDefault="001A2B59" w:rsidP="00F400BD">
            <w:pPr>
              <w:rPr>
                <w:rFonts w:ascii="Times New Roman" w:hAnsi="Times New Roman"/>
                <w:sz w:val="22"/>
              </w:rPr>
            </w:pPr>
            <w:r>
              <w:rPr>
                <w:rFonts w:ascii="Times New Roman" w:hAnsi="Times New Roman"/>
                <w:sz w:val="22"/>
              </w:rPr>
              <w:t>13</w:t>
            </w:r>
          </w:p>
        </w:tc>
        <w:tc>
          <w:tcPr>
            <w:tcW w:w="992" w:type="dxa"/>
          </w:tcPr>
          <w:p w:rsidR="001A2B59" w:rsidRPr="00D47DF8" w:rsidRDefault="001A2B59" w:rsidP="00F400BD">
            <w:pPr>
              <w:rPr>
                <w:rFonts w:ascii="Times New Roman" w:hAnsi="Times New Roman"/>
                <w:sz w:val="22"/>
              </w:rPr>
            </w:pPr>
            <w:r>
              <w:rPr>
                <w:rFonts w:ascii="Times New Roman" w:hAnsi="Times New Roman"/>
                <w:sz w:val="22"/>
              </w:rPr>
              <w:t>0.17</w:t>
            </w:r>
          </w:p>
        </w:tc>
      </w:tr>
      <w:tr w:rsidR="001A2B59" w:rsidRPr="00D86281">
        <w:tc>
          <w:tcPr>
            <w:tcW w:w="1242" w:type="dxa"/>
            <w:vMerge/>
          </w:tcPr>
          <w:p w:rsidR="001A2B59" w:rsidRPr="00D47DF8" w:rsidRDefault="001A2B59">
            <w:pPr>
              <w:rPr>
                <w:rFonts w:ascii="Times New Roman" w:hAnsi="Times New Roman"/>
                <w:sz w:val="22"/>
              </w:rPr>
            </w:pPr>
          </w:p>
        </w:tc>
        <w:tc>
          <w:tcPr>
            <w:tcW w:w="4820" w:type="dxa"/>
          </w:tcPr>
          <w:p w:rsidR="001A2B59" w:rsidRPr="00D47DF8" w:rsidRDefault="001A2B59" w:rsidP="00C750D3">
            <w:pPr>
              <w:rPr>
                <w:rFonts w:ascii="Times New Roman" w:hAnsi="Times New Roman"/>
                <w:sz w:val="22"/>
              </w:rPr>
            </w:pPr>
            <w:r w:rsidRPr="00D47DF8">
              <w:rPr>
                <w:rFonts w:ascii="Times New Roman" w:hAnsi="Times New Roman"/>
                <w:sz w:val="22"/>
              </w:rPr>
              <w:t xml:space="preserve">Hinge features, PCA predictors, 200 km rectangular background extent </w:t>
            </w:r>
            <w:r w:rsidR="009910B9">
              <w:rPr>
                <w:rFonts w:ascii="Times New Roman" w:hAnsi="Times New Roman"/>
                <w:sz w:val="22"/>
              </w:rPr>
              <w:t>(V3)</w:t>
            </w:r>
          </w:p>
        </w:tc>
        <w:tc>
          <w:tcPr>
            <w:tcW w:w="2410" w:type="dxa"/>
          </w:tcPr>
          <w:p w:rsidR="001A2B59" w:rsidRPr="00D47DF8" w:rsidRDefault="001A2B59" w:rsidP="00F400BD">
            <w:pPr>
              <w:rPr>
                <w:rFonts w:ascii="Times New Roman" w:hAnsi="Times New Roman"/>
                <w:sz w:val="22"/>
              </w:rPr>
            </w:pPr>
            <w:r>
              <w:rPr>
                <w:rFonts w:ascii="Times New Roman" w:hAnsi="Times New Roman"/>
                <w:sz w:val="22"/>
              </w:rPr>
              <w:t>15</w:t>
            </w:r>
          </w:p>
        </w:tc>
        <w:tc>
          <w:tcPr>
            <w:tcW w:w="992" w:type="dxa"/>
          </w:tcPr>
          <w:p w:rsidR="001A2B59" w:rsidRPr="00D47DF8" w:rsidRDefault="001A2B59" w:rsidP="00F400BD">
            <w:pPr>
              <w:rPr>
                <w:rFonts w:ascii="Times New Roman" w:hAnsi="Times New Roman"/>
                <w:b/>
                <w:sz w:val="22"/>
              </w:rPr>
            </w:pPr>
            <w:r>
              <w:rPr>
                <w:rFonts w:ascii="Times New Roman" w:hAnsi="Times New Roman"/>
                <w:b/>
                <w:color w:val="000000" w:themeColor="text1"/>
                <w:sz w:val="22"/>
              </w:rPr>
              <w:t>0.019</w:t>
            </w:r>
          </w:p>
        </w:tc>
      </w:tr>
      <w:tr w:rsidR="001A2B59" w:rsidRPr="00D86281">
        <w:tc>
          <w:tcPr>
            <w:tcW w:w="1242" w:type="dxa"/>
            <w:vMerge/>
          </w:tcPr>
          <w:p w:rsidR="001A2B59" w:rsidRPr="00D47DF8" w:rsidRDefault="001A2B59">
            <w:pPr>
              <w:rPr>
                <w:rFonts w:ascii="Times New Roman" w:hAnsi="Times New Roman"/>
                <w:sz w:val="22"/>
              </w:rPr>
            </w:pPr>
          </w:p>
        </w:tc>
        <w:tc>
          <w:tcPr>
            <w:tcW w:w="4820" w:type="dxa"/>
          </w:tcPr>
          <w:p w:rsidR="001A2B59" w:rsidRPr="00D47DF8" w:rsidRDefault="001A2B59" w:rsidP="00C750D3">
            <w:pPr>
              <w:rPr>
                <w:rFonts w:ascii="Times New Roman" w:hAnsi="Times New Roman"/>
                <w:sz w:val="22"/>
              </w:rPr>
            </w:pPr>
            <w:r w:rsidRPr="00D47DF8">
              <w:rPr>
                <w:rFonts w:ascii="Times New Roman" w:hAnsi="Times New Roman"/>
                <w:sz w:val="22"/>
              </w:rPr>
              <w:t xml:space="preserve">All features, all </w:t>
            </w:r>
            <w:proofErr w:type="spellStart"/>
            <w:r w:rsidRPr="00D47DF8">
              <w:rPr>
                <w:rFonts w:ascii="Times New Roman" w:hAnsi="Times New Roman"/>
                <w:smallCaps/>
                <w:sz w:val="22"/>
              </w:rPr>
              <w:t>bioclim</w:t>
            </w:r>
            <w:proofErr w:type="spellEnd"/>
            <w:r w:rsidRPr="00D47DF8">
              <w:rPr>
                <w:rFonts w:ascii="Times New Roman" w:hAnsi="Times New Roman"/>
                <w:smallCaps/>
                <w:sz w:val="22"/>
              </w:rPr>
              <w:t xml:space="preserve"> </w:t>
            </w:r>
            <w:r w:rsidRPr="00D47DF8">
              <w:rPr>
                <w:rFonts w:ascii="Times New Roman" w:hAnsi="Times New Roman"/>
                <w:sz w:val="22"/>
              </w:rPr>
              <w:t xml:space="preserve">predictors, 200 km rectangular background extent </w:t>
            </w:r>
            <w:r w:rsidR="009910B9">
              <w:rPr>
                <w:rFonts w:ascii="Times New Roman" w:hAnsi="Times New Roman"/>
                <w:sz w:val="22"/>
              </w:rPr>
              <w:t>(V4)</w:t>
            </w:r>
          </w:p>
        </w:tc>
        <w:tc>
          <w:tcPr>
            <w:tcW w:w="2410" w:type="dxa"/>
          </w:tcPr>
          <w:p w:rsidR="001A2B59" w:rsidRPr="00D47DF8" w:rsidRDefault="001A2B59" w:rsidP="00F400BD">
            <w:pPr>
              <w:rPr>
                <w:rFonts w:ascii="Times New Roman" w:hAnsi="Times New Roman"/>
                <w:sz w:val="22"/>
              </w:rPr>
            </w:pPr>
            <w:r>
              <w:rPr>
                <w:rFonts w:ascii="Times New Roman" w:hAnsi="Times New Roman"/>
                <w:sz w:val="22"/>
              </w:rPr>
              <w:t>12</w:t>
            </w:r>
          </w:p>
        </w:tc>
        <w:tc>
          <w:tcPr>
            <w:tcW w:w="992" w:type="dxa"/>
          </w:tcPr>
          <w:p w:rsidR="001A2B59" w:rsidRPr="00F220B4" w:rsidRDefault="001A2B59" w:rsidP="00F400BD">
            <w:pPr>
              <w:rPr>
                <w:rFonts w:ascii="Times New Roman" w:hAnsi="Times New Roman"/>
                <w:sz w:val="22"/>
              </w:rPr>
            </w:pPr>
            <w:r w:rsidRPr="00F220B4">
              <w:rPr>
                <w:rFonts w:ascii="Times New Roman" w:hAnsi="Times New Roman"/>
                <w:sz w:val="22"/>
              </w:rPr>
              <w:t>0.36</w:t>
            </w:r>
          </w:p>
        </w:tc>
      </w:tr>
      <w:tr w:rsidR="001A2B59" w:rsidRPr="00D86281">
        <w:tc>
          <w:tcPr>
            <w:tcW w:w="1242" w:type="dxa"/>
            <w:vMerge/>
          </w:tcPr>
          <w:p w:rsidR="001A2B59" w:rsidRPr="00D47DF8" w:rsidRDefault="001A2B59">
            <w:pPr>
              <w:rPr>
                <w:rFonts w:ascii="Times New Roman" w:hAnsi="Times New Roman"/>
                <w:sz w:val="22"/>
              </w:rPr>
            </w:pPr>
          </w:p>
        </w:tc>
        <w:tc>
          <w:tcPr>
            <w:tcW w:w="4820" w:type="dxa"/>
          </w:tcPr>
          <w:p w:rsidR="001A2B59" w:rsidRPr="00D47DF8" w:rsidRDefault="001A2B59" w:rsidP="00C750D3">
            <w:pPr>
              <w:rPr>
                <w:rFonts w:ascii="Times New Roman" w:hAnsi="Times New Roman"/>
                <w:sz w:val="22"/>
              </w:rPr>
            </w:pPr>
            <w:r w:rsidRPr="00D47DF8">
              <w:rPr>
                <w:rFonts w:ascii="Times New Roman" w:hAnsi="Times New Roman"/>
                <w:sz w:val="22"/>
              </w:rPr>
              <w:t xml:space="preserve">Hinge features, PCA predictors, buffered points background extent </w:t>
            </w:r>
            <w:r w:rsidR="009910B9">
              <w:rPr>
                <w:rFonts w:ascii="Times New Roman" w:hAnsi="Times New Roman"/>
                <w:sz w:val="22"/>
              </w:rPr>
              <w:t>(V5)</w:t>
            </w:r>
          </w:p>
        </w:tc>
        <w:tc>
          <w:tcPr>
            <w:tcW w:w="2410" w:type="dxa"/>
          </w:tcPr>
          <w:p w:rsidR="001A2B59" w:rsidRPr="00D47DF8" w:rsidRDefault="001A2B59" w:rsidP="00F400BD">
            <w:pPr>
              <w:rPr>
                <w:rFonts w:ascii="Times New Roman" w:hAnsi="Times New Roman"/>
                <w:sz w:val="22"/>
              </w:rPr>
            </w:pPr>
            <w:r>
              <w:rPr>
                <w:rFonts w:ascii="Times New Roman" w:hAnsi="Times New Roman"/>
                <w:sz w:val="22"/>
              </w:rPr>
              <w:t>15</w:t>
            </w:r>
          </w:p>
        </w:tc>
        <w:tc>
          <w:tcPr>
            <w:tcW w:w="992" w:type="dxa"/>
          </w:tcPr>
          <w:p w:rsidR="001A2B59" w:rsidRPr="00D47DF8" w:rsidRDefault="001A2B59" w:rsidP="00F400BD">
            <w:pPr>
              <w:rPr>
                <w:rFonts w:ascii="Times New Roman" w:hAnsi="Times New Roman"/>
                <w:b/>
                <w:sz w:val="22"/>
              </w:rPr>
            </w:pPr>
            <w:r>
              <w:rPr>
                <w:rFonts w:ascii="Times New Roman" w:hAnsi="Times New Roman"/>
                <w:b/>
                <w:color w:val="000000" w:themeColor="text1"/>
                <w:sz w:val="22"/>
              </w:rPr>
              <w:t>0.019</w:t>
            </w:r>
          </w:p>
        </w:tc>
      </w:tr>
      <w:tr w:rsidR="001A2B59" w:rsidRPr="00D86281">
        <w:tc>
          <w:tcPr>
            <w:tcW w:w="1242" w:type="dxa"/>
            <w:vMerge/>
            <w:tcBorders>
              <w:bottom w:val="single" w:sz="4" w:space="0" w:color="auto"/>
            </w:tcBorders>
          </w:tcPr>
          <w:p w:rsidR="001A2B59" w:rsidRPr="00D47DF8" w:rsidRDefault="001A2B59">
            <w:pPr>
              <w:rPr>
                <w:rFonts w:ascii="Times New Roman" w:hAnsi="Times New Roman"/>
                <w:sz w:val="22"/>
              </w:rPr>
            </w:pPr>
          </w:p>
        </w:tc>
        <w:tc>
          <w:tcPr>
            <w:tcW w:w="4820" w:type="dxa"/>
            <w:tcBorders>
              <w:bottom w:val="single" w:sz="4" w:space="0" w:color="auto"/>
            </w:tcBorders>
          </w:tcPr>
          <w:p w:rsidR="001A2B59" w:rsidRPr="00D47DF8" w:rsidRDefault="001A2B59" w:rsidP="00C750D3">
            <w:pPr>
              <w:rPr>
                <w:rFonts w:ascii="Times New Roman" w:hAnsi="Times New Roman"/>
                <w:sz w:val="22"/>
              </w:rPr>
            </w:pPr>
            <w:r w:rsidRPr="00D47DF8">
              <w:rPr>
                <w:rFonts w:ascii="Times New Roman" w:hAnsi="Times New Roman"/>
                <w:sz w:val="22"/>
              </w:rPr>
              <w:t>Linear-product-quadratic features, PCA predictors, buffered points background extent</w:t>
            </w:r>
            <w:r w:rsidR="009910B9">
              <w:rPr>
                <w:rFonts w:ascii="Times New Roman" w:hAnsi="Times New Roman"/>
                <w:sz w:val="22"/>
              </w:rPr>
              <w:t xml:space="preserve"> (V6)</w:t>
            </w:r>
            <w:r w:rsidRPr="00D47DF8">
              <w:rPr>
                <w:rFonts w:ascii="Times New Roman" w:hAnsi="Times New Roman"/>
                <w:sz w:val="22"/>
                <w:vertAlign w:val="superscript"/>
              </w:rPr>
              <w:t xml:space="preserve"> </w:t>
            </w:r>
          </w:p>
        </w:tc>
        <w:tc>
          <w:tcPr>
            <w:tcW w:w="2410" w:type="dxa"/>
            <w:tcBorders>
              <w:bottom w:val="single" w:sz="4" w:space="0" w:color="auto"/>
            </w:tcBorders>
          </w:tcPr>
          <w:p w:rsidR="001A2B59" w:rsidRPr="00D47DF8" w:rsidRDefault="001A2B59" w:rsidP="00F400BD">
            <w:pPr>
              <w:rPr>
                <w:rFonts w:ascii="Times New Roman" w:hAnsi="Times New Roman"/>
                <w:sz w:val="22"/>
              </w:rPr>
            </w:pPr>
            <w:r>
              <w:rPr>
                <w:rFonts w:ascii="Times New Roman" w:hAnsi="Times New Roman"/>
                <w:sz w:val="22"/>
              </w:rPr>
              <w:t>13</w:t>
            </w:r>
          </w:p>
        </w:tc>
        <w:tc>
          <w:tcPr>
            <w:tcW w:w="992" w:type="dxa"/>
            <w:tcBorders>
              <w:bottom w:val="single" w:sz="4" w:space="0" w:color="auto"/>
            </w:tcBorders>
          </w:tcPr>
          <w:p w:rsidR="001A2B59" w:rsidRPr="00D47DF8" w:rsidRDefault="001A2B59" w:rsidP="00F400BD">
            <w:pPr>
              <w:rPr>
                <w:rFonts w:ascii="Times New Roman" w:hAnsi="Times New Roman"/>
                <w:sz w:val="22"/>
              </w:rPr>
            </w:pPr>
            <w:r>
              <w:rPr>
                <w:rFonts w:ascii="Times New Roman" w:hAnsi="Times New Roman"/>
                <w:sz w:val="22"/>
              </w:rPr>
              <w:t>0.17</w:t>
            </w:r>
          </w:p>
        </w:tc>
      </w:tr>
    </w:tbl>
    <w:p w:rsidR="00DD0B16" w:rsidRDefault="00DD0B16" w:rsidP="00D47DF8"/>
    <w:p w:rsidR="00F574AE" w:rsidRDefault="00F574AE" w:rsidP="00DD0B16">
      <w:pPr>
        <w:sectPr w:rsidR="00F574AE">
          <w:footerReference w:type="even" r:id="rId7"/>
          <w:footerReference w:type="default" r:id="rId8"/>
          <w:pgSz w:w="12240" w:h="15840"/>
          <w:pgMar w:top="1440" w:right="1418" w:bottom="1440" w:left="1418" w:header="709" w:footer="709" w:gutter="0"/>
          <w:lnNumType w:countBy="1" w:restart="continuous"/>
          <w:cols w:space="708"/>
        </w:sectPr>
      </w:pPr>
    </w:p>
    <w:p w:rsidR="00F574AE" w:rsidRDefault="00F574AE" w:rsidP="00F574AE">
      <w:r>
        <w:lastRenderedPageBreak/>
        <w:t>Table S3-4</w:t>
      </w:r>
      <w:r w:rsidRPr="00F85D3C">
        <w:t xml:space="preserve">. </w:t>
      </w:r>
      <w:r>
        <w:t xml:space="preserve"> Fitness and suitability patterns across range limits (- indicates fitness or suitability declined across range limits; + indicates a lack of decline) when sites were categorized as in-range or over-the-edge without consideration of the type of range limit (horizontal versus vertical). See Table S3-2 for key to the parameter settings for the different analyses (V1-V6). </w:t>
      </w:r>
    </w:p>
    <w:p w:rsidR="00F574AE" w:rsidRPr="00F85D3C" w:rsidRDefault="00F574AE" w:rsidP="00F574AE"/>
    <w:tbl>
      <w:tblPr>
        <w:tblW w:w="12391" w:type="dxa"/>
        <w:tblLayout w:type="fixed"/>
        <w:tblCellMar>
          <w:left w:w="58" w:type="dxa"/>
          <w:right w:w="58" w:type="dxa"/>
        </w:tblCellMar>
        <w:tblLook w:val="00BF" w:firstRow="1" w:lastRow="0" w:firstColumn="1" w:lastColumn="0" w:noHBand="0" w:noVBand="0"/>
      </w:tblPr>
      <w:tblGrid>
        <w:gridCol w:w="1768"/>
        <w:gridCol w:w="1466"/>
        <w:gridCol w:w="966"/>
        <w:gridCol w:w="944"/>
        <w:gridCol w:w="1151"/>
        <w:gridCol w:w="1134"/>
        <w:gridCol w:w="1276"/>
        <w:gridCol w:w="1132"/>
        <w:gridCol w:w="1271"/>
        <w:gridCol w:w="1283"/>
      </w:tblGrid>
      <w:tr w:rsidR="00F574AE" w:rsidRPr="00F85D3C">
        <w:tc>
          <w:tcPr>
            <w:tcW w:w="1768" w:type="dxa"/>
            <w:tcBorders>
              <w:top w:val="single" w:sz="4" w:space="0" w:color="auto"/>
              <w:bottom w:val="single" w:sz="4" w:space="0" w:color="auto"/>
            </w:tcBorders>
            <w:vAlign w:val="bottom"/>
          </w:tcPr>
          <w:p w:rsidR="00F574AE" w:rsidRPr="00F85D3C" w:rsidRDefault="00F574AE" w:rsidP="00E64A04">
            <w:pPr>
              <w:ind w:right="-91"/>
              <w:rPr>
                <w:b/>
                <w:sz w:val="22"/>
                <w:szCs w:val="22"/>
              </w:rPr>
            </w:pPr>
            <w:r w:rsidRPr="00F85D3C">
              <w:rPr>
                <w:b/>
                <w:sz w:val="22"/>
                <w:szCs w:val="22"/>
              </w:rPr>
              <w:t>Species</w:t>
            </w:r>
          </w:p>
        </w:tc>
        <w:tc>
          <w:tcPr>
            <w:tcW w:w="1466" w:type="dxa"/>
            <w:tcBorders>
              <w:top w:val="single" w:sz="4" w:space="0" w:color="auto"/>
              <w:bottom w:val="single" w:sz="4" w:space="0" w:color="auto"/>
            </w:tcBorders>
            <w:vAlign w:val="bottom"/>
          </w:tcPr>
          <w:p w:rsidR="00F574AE" w:rsidRPr="00F85D3C" w:rsidRDefault="00F574AE" w:rsidP="00E64A04">
            <w:pPr>
              <w:rPr>
                <w:b/>
                <w:sz w:val="22"/>
                <w:szCs w:val="22"/>
              </w:rPr>
            </w:pPr>
            <w:r w:rsidRPr="00F85D3C">
              <w:rPr>
                <w:b/>
                <w:sz w:val="22"/>
                <w:szCs w:val="22"/>
              </w:rPr>
              <w:t>Source of TE Data</w:t>
            </w:r>
          </w:p>
        </w:tc>
        <w:tc>
          <w:tcPr>
            <w:tcW w:w="966" w:type="dxa"/>
            <w:tcBorders>
              <w:top w:val="single" w:sz="4" w:space="0" w:color="auto"/>
              <w:bottom w:val="single" w:sz="4" w:space="0" w:color="auto"/>
            </w:tcBorders>
            <w:vAlign w:val="bottom"/>
          </w:tcPr>
          <w:p w:rsidR="00F574AE" w:rsidRPr="00F85D3C" w:rsidRDefault="00F574AE" w:rsidP="00E64A04">
            <w:pPr>
              <w:ind w:right="-1"/>
              <w:rPr>
                <w:b/>
                <w:sz w:val="22"/>
                <w:szCs w:val="22"/>
              </w:rPr>
            </w:pPr>
            <w:r w:rsidRPr="00F85D3C">
              <w:rPr>
                <w:b/>
                <w:sz w:val="22"/>
                <w:szCs w:val="22"/>
              </w:rPr>
              <w:t>Type of Range Limit*</w:t>
            </w:r>
          </w:p>
        </w:tc>
        <w:tc>
          <w:tcPr>
            <w:tcW w:w="944" w:type="dxa"/>
            <w:tcBorders>
              <w:top w:val="single" w:sz="4" w:space="0" w:color="auto"/>
              <w:bottom w:val="single" w:sz="4" w:space="0" w:color="auto"/>
            </w:tcBorders>
            <w:vAlign w:val="bottom"/>
          </w:tcPr>
          <w:p w:rsidR="00F574AE" w:rsidRPr="00F85D3C" w:rsidRDefault="00F574AE" w:rsidP="00E64A04">
            <w:pPr>
              <w:tabs>
                <w:tab w:val="left" w:pos="733"/>
              </w:tabs>
              <w:ind w:right="-108"/>
              <w:rPr>
                <w:b/>
                <w:sz w:val="22"/>
                <w:szCs w:val="22"/>
              </w:rPr>
            </w:pPr>
            <w:r>
              <w:rPr>
                <w:b/>
                <w:sz w:val="22"/>
                <w:szCs w:val="22"/>
              </w:rPr>
              <w:t>Fitness Pattern</w:t>
            </w:r>
          </w:p>
        </w:tc>
        <w:tc>
          <w:tcPr>
            <w:tcW w:w="1151" w:type="dxa"/>
            <w:tcBorders>
              <w:top w:val="single" w:sz="4" w:space="0" w:color="auto"/>
              <w:bottom w:val="single" w:sz="4" w:space="0" w:color="auto"/>
            </w:tcBorders>
            <w:vAlign w:val="bottom"/>
          </w:tcPr>
          <w:p w:rsidR="00F574AE" w:rsidRPr="00F85D3C" w:rsidRDefault="00F574AE" w:rsidP="00E64A04">
            <w:pPr>
              <w:ind w:right="-108"/>
              <w:rPr>
                <w:b/>
                <w:sz w:val="22"/>
                <w:szCs w:val="22"/>
              </w:rPr>
            </w:pPr>
            <w:r>
              <w:rPr>
                <w:b/>
                <w:sz w:val="22"/>
                <w:szCs w:val="22"/>
              </w:rPr>
              <w:t>Suitability</w:t>
            </w:r>
            <w:r w:rsidR="003D4730">
              <w:rPr>
                <w:b/>
                <w:sz w:val="22"/>
                <w:szCs w:val="22"/>
              </w:rPr>
              <w:t xml:space="preserve"> Pattern</w:t>
            </w:r>
            <w:r>
              <w:rPr>
                <w:b/>
                <w:sz w:val="22"/>
                <w:szCs w:val="22"/>
              </w:rPr>
              <w:t xml:space="preserve"> V1</w:t>
            </w:r>
          </w:p>
        </w:tc>
        <w:tc>
          <w:tcPr>
            <w:tcW w:w="1134" w:type="dxa"/>
            <w:tcBorders>
              <w:top w:val="single" w:sz="4" w:space="0" w:color="auto"/>
              <w:bottom w:val="single" w:sz="4" w:space="0" w:color="auto"/>
            </w:tcBorders>
            <w:vAlign w:val="bottom"/>
          </w:tcPr>
          <w:p w:rsidR="00F574AE" w:rsidRPr="00F85D3C" w:rsidRDefault="00F574AE" w:rsidP="00E64A04">
            <w:pPr>
              <w:ind w:right="-108"/>
              <w:rPr>
                <w:b/>
                <w:bCs/>
                <w:sz w:val="22"/>
                <w:szCs w:val="22"/>
              </w:rPr>
            </w:pPr>
            <w:r>
              <w:rPr>
                <w:b/>
                <w:sz w:val="22"/>
                <w:szCs w:val="22"/>
              </w:rPr>
              <w:t xml:space="preserve">Suitability </w:t>
            </w:r>
            <w:r w:rsidR="003D4730">
              <w:rPr>
                <w:b/>
                <w:sz w:val="22"/>
                <w:szCs w:val="22"/>
              </w:rPr>
              <w:t xml:space="preserve">Pattern </w:t>
            </w:r>
            <w:r>
              <w:rPr>
                <w:b/>
                <w:sz w:val="22"/>
                <w:szCs w:val="22"/>
              </w:rPr>
              <w:t>V2</w:t>
            </w:r>
          </w:p>
        </w:tc>
        <w:tc>
          <w:tcPr>
            <w:tcW w:w="1276" w:type="dxa"/>
            <w:tcBorders>
              <w:top w:val="single" w:sz="4" w:space="0" w:color="auto"/>
              <w:bottom w:val="single" w:sz="4" w:space="0" w:color="auto"/>
            </w:tcBorders>
            <w:vAlign w:val="bottom"/>
          </w:tcPr>
          <w:p w:rsidR="00F574AE" w:rsidRPr="00F85D3C" w:rsidRDefault="00F574AE" w:rsidP="00E64A04">
            <w:pPr>
              <w:rPr>
                <w:b/>
                <w:sz w:val="22"/>
                <w:szCs w:val="22"/>
              </w:rPr>
            </w:pPr>
            <w:r>
              <w:rPr>
                <w:b/>
                <w:sz w:val="22"/>
                <w:szCs w:val="22"/>
              </w:rPr>
              <w:t xml:space="preserve">Suitability </w:t>
            </w:r>
            <w:r w:rsidR="003D4730">
              <w:rPr>
                <w:b/>
                <w:sz w:val="22"/>
                <w:szCs w:val="22"/>
              </w:rPr>
              <w:t xml:space="preserve">Pattern </w:t>
            </w:r>
            <w:r>
              <w:rPr>
                <w:b/>
                <w:sz w:val="22"/>
                <w:szCs w:val="22"/>
              </w:rPr>
              <w:t>V3</w:t>
            </w:r>
          </w:p>
        </w:tc>
        <w:tc>
          <w:tcPr>
            <w:tcW w:w="1132" w:type="dxa"/>
            <w:tcBorders>
              <w:top w:val="single" w:sz="4" w:space="0" w:color="auto"/>
              <w:bottom w:val="single" w:sz="4" w:space="0" w:color="auto"/>
            </w:tcBorders>
            <w:vAlign w:val="bottom"/>
          </w:tcPr>
          <w:p w:rsidR="00F574AE" w:rsidRPr="00F85D3C" w:rsidRDefault="00F574AE" w:rsidP="00E64A04">
            <w:pPr>
              <w:ind w:right="-108"/>
              <w:rPr>
                <w:b/>
                <w:sz w:val="22"/>
                <w:szCs w:val="22"/>
              </w:rPr>
            </w:pPr>
            <w:r>
              <w:rPr>
                <w:b/>
                <w:sz w:val="22"/>
                <w:szCs w:val="22"/>
              </w:rPr>
              <w:t xml:space="preserve">Suitability </w:t>
            </w:r>
            <w:r w:rsidR="003D4730">
              <w:rPr>
                <w:b/>
                <w:sz w:val="22"/>
                <w:szCs w:val="22"/>
              </w:rPr>
              <w:t xml:space="preserve">Pattern </w:t>
            </w:r>
            <w:r>
              <w:rPr>
                <w:b/>
                <w:sz w:val="22"/>
                <w:szCs w:val="22"/>
              </w:rPr>
              <w:t>V4</w:t>
            </w:r>
          </w:p>
        </w:tc>
        <w:tc>
          <w:tcPr>
            <w:tcW w:w="1271" w:type="dxa"/>
            <w:tcBorders>
              <w:top w:val="single" w:sz="4" w:space="0" w:color="auto"/>
              <w:bottom w:val="single" w:sz="4" w:space="0" w:color="auto"/>
            </w:tcBorders>
            <w:vAlign w:val="bottom"/>
          </w:tcPr>
          <w:p w:rsidR="00F574AE" w:rsidRPr="00F85D3C" w:rsidRDefault="00F574AE" w:rsidP="00E64A04">
            <w:pPr>
              <w:rPr>
                <w:b/>
                <w:sz w:val="22"/>
                <w:szCs w:val="22"/>
              </w:rPr>
            </w:pPr>
            <w:r>
              <w:rPr>
                <w:b/>
                <w:sz w:val="22"/>
                <w:szCs w:val="22"/>
              </w:rPr>
              <w:t xml:space="preserve">Suitability </w:t>
            </w:r>
            <w:r w:rsidR="003D4730">
              <w:rPr>
                <w:b/>
                <w:sz w:val="22"/>
                <w:szCs w:val="22"/>
              </w:rPr>
              <w:t xml:space="preserve">Pattern </w:t>
            </w:r>
            <w:r>
              <w:rPr>
                <w:b/>
                <w:sz w:val="22"/>
                <w:szCs w:val="22"/>
              </w:rPr>
              <w:t>V5</w:t>
            </w:r>
          </w:p>
        </w:tc>
        <w:tc>
          <w:tcPr>
            <w:tcW w:w="1283" w:type="dxa"/>
            <w:tcBorders>
              <w:top w:val="single" w:sz="4" w:space="0" w:color="auto"/>
              <w:bottom w:val="single" w:sz="4" w:space="0" w:color="auto"/>
            </w:tcBorders>
            <w:vAlign w:val="bottom"/>
          </w:tcPr>
          <w:p w:rsidR="00F574AE" w:rsidRPr="00F85D3C" w:rsidRDefault="00F574AE" w:rsidP="001F0BFC">
            <w:pPr>
              <w:ind w:right="-58"/>
              <w:rPr>
                <w:b/>
                <w:sz w:val="22"/>
                <w:szCs w:val="22"/>
              </w:rPr>
            </w:pPr>
            <w:r>
              <w:rPr>
                <w:b/>
                <w:sz w:val="22"/>
                <w:szCs w:val="22"/>
              </w:rPr>
              <w:t xml:space="preserve">Suitability </w:t>
            </w:r>
            <w:r w:rsidR="003D4730">
              <w:rPr>
                <w:b/>
                <w:sz w:val="22"/>
                <w:szCs w:val="22"/>
              </w:rPr>
              <w:t xml:space="preserve">Pattern </w:t>
            </w:r>
            <w:r>
              <w:rPr>
                <w:b/>
                <w:sz w:val="22"/>
                <w:szCs w:val="22"/>
              </w:rPr>
              <w:t>V6</w:t>
            </w:r>
          </w:p>
        </w:tc>
      </w:tr>
      <w:tr w:rsidR="00F574AE" w:rsidRPr="00F85D3C">
        <w:tc>
          <w:tcPr>
            <w:tcW w:w="1768" w:type="dxa"/>
            <w:tcBorders>
              <w:top w:val="single" w:sz="4" w:space="0" w:color="auto"/>
            </w:tcBorders>
          </w:tcPr>
          <w:p w:rsidR="00F574AE" w:rsidRPr="00F85D3C" w:rsidRDefault="00F574AE" w:rsidP="00E64A04">
            <w:pPr>
              <w:rPr>
                <w:i/>
                <w:sz w:val="22"/>
                <w:szCs w:val="22"/>
              </w:rPr>
            </w:pPr>
            <w:r w:rsidRPr="00F85D3C">
              <w:rPr>
                <w:i/>
                <w:sz w:val="22"/>
                <w:szCs w:val="22"/>
              </w:rPr>
              <w:t xml:space="preserve">Abutilon </w:t>
            </w:r>
            <w:proofErr w:type="spellStart"/>
            <w:r w:rsidRPr="00F85D3C">
              <w:rPr>
                <w:i/>
                <w:sz w:val="22"/>
                <w:szCs w:val="22"/>
              </w:rPr>
              <w:t>theophrasti</w:t>
            </w:r>
            <w:proofErr w:type="spellEnd"/>
          </w:p>
        </w:tc>
        <w:tc>
          <w:tcPr>
            <w:tcW w:w="1466" w:type="dxa"/>
            <w:tcBorders>
              <w:top w:val="single" w:sz="4" w:space="0" w:color="auto"/>
            </w:tcBorders>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"(Andersen &lt;i&gt;et al.&lt;/i&gt; 1985)", "manualFormatting": "Andersen et al. 1985"}, "citationItems": [{"uris": ["http://www.mendeley.com/documents/?uuid=8755b650-885f-484a-b6d8-16d4cfa23022"], "id": "ITEM-1", "itemData": {"type": "article-journal", "author": [{"given": "Robert N", "dropping-particle": "", "suffix": "", "family": "Andersen", "parse-names": false, "non-dropping-particle": ""}, {"given": "Robert M", "dropping-particle": "", "suffix": "", "family": "Menges", "parse-names": false, "non-dropping-particle": ""}, {"given": "Jeffery S", "dropping-particle": "", "suffix": "", "family": "Conn", "parse-names": false, "non-dropping-particle": ""}], "issued": {"date-parts": [["1985"]]}, "ISSN": "0043-1745", "page": "507-512", "volume": "33", "container-title": "Weed Science", "title": "Variability in velvetleaf (Abutilon theophrasti) and reproduction beyond its current range in North America", "issue": "4",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Andersen et al. 1985</w:t>
            </w:r>
            <w:r w:rsidRPr="00F85D3C">
              <w:rPr>
                <w:sz w:val="22"/>
                <w:szCs w:val="22"/>
              </w:rPr>
              <w:fldChar w:fldCharType="end"/>
            </w:r>
          </w:p>
        </w:tc>
        <w:tc>
          <w:tcPr>
            <w:tcW w:w="966" w:type="dxa"/>
            <w:tcBorders>
              <w:top w:val="single" w:sz="4" w:space="0" w:color="auto"/>
            </w:tcBorders>
          </w:tcPr>
          <w:p w:rsidR="00F574AE" w:rsidRPr="00F85D3C" w:rsidRDefault="00F574AE" w:rsidP="00E64A04">
            <w:pPr>
              <w:rPr>
                <w:sz w:val="22"/>
                <w:szCs w:val="22"/>
              </w:rPr>
            </w:pPr>
            <w:r w:rsidRPr="00F85D3C">
              <w:rPr>
                <w:sz w:val="22"/>
                <w:szCs w:val="22"/>
              </w:rPr>
              <w:t>H</w:t>
            </w:r>
          </w:p>
        </w:tc>
        <w:tc>
          <w:tcPr>
            <w:tcW w:w="944" w:type="dxa"/>
            <w:tcBorders>
              <w:top w:val="single" w:sz="4" w:space="0" w:color="auto"/>
            </w:tcBorders>
          </w:tcPr>
          <w:p w:rsidR="00F574AE" w:rsidRPr="00F85D3C" w:rsidRDefault="00F574AE" w:rsidP="00E64A04">
            <w:pPr>
              <w:rPr>
                <w:sz w:val="22"/>
                <w:szCs w:val="22"/>
              </w:rPr>
            </w:pPr>
            <w:r w:rsidRPr="00F85D3C">
              <w:rPr>
                <w:sz w:val="22"/>
                <w:szCs w:val="22"/>
              </w:rPr>
              <w:t xml:space="preserve">- </w:t>
            </w:r>
          </w:p>
        </w:tc>
        <w:tc>
          <w:tcPr>
            <w:tcW w:w="1151" w:type="dxa"/>
            <w:tcBorders>
              <w:top w:val="single" w:sz="4" w:space="0" w:color="auto"/>
            </w:tcBorders>
          </w:tcPr>
          <w:p w:rsidR="00F574AE" w:rsidRPr="00F85D3C" w:rsidRDefault="00F574AE" w:rsidP="00E64A04">
            <w:pPr>
              <w:rPr>
                <w:sz w:val="22"/>
                <w:szCs w:val="22"/>
              </w:rPr>
            </w:pPr>
            <w:r>
              <w:rPr>
                <w:sz w:val="22"/>
                <w:szCs w:val="22"/>
              </w:rPr>
              <w:t>-</w:t>
            </w:r>
          </w:p>
        </w:tc>
        <w:tc>
          <w:tcPr>
            <w:tcW w:w="1134" w:type="dxa"/>
            <w:tcBorders>
              <w:top w:val="single" w:sz="4" w:space="0" w:color="auto"/>
            </w:tcBorders>
          </w:tcPr>
          <w:p w:rsidR="00F574AE" w:rsidRPr="002A6B03" w:rsidRDefault="00F574AE" w:rsidP="00E64A04">
            <w:pPr>
              <w:rPr>
                <w:bCs/>
                <w:sz w:val="22"/>
                <w:szCs w:val="22"/>
              </w:rPr>
            </w:pPr>
            <w:r w:rsidRPr="002A6B03">
              <w:rPr>
                <w:bCs/>
                <w:sz w:val="22"/>
                <w:szCs w:val="22"/>
              </w:rPr>
              <w:t>-</w:t>
            </w:r>
          </w:p>
        </w:tc>
        <w:tc>
          <w:tcPr>
            <w:tcW w:w="1276" w:type="dxa"/>
            <w:tcBorders>
              <w:top w:val="single" w:sz="4" w:space="0" w:color="auto"/>
            </w:tcBorders>
          </w:tcPr>
          <w:p w:rsidR="00F574AE" w:rsidRPr="00454B56" w:rsidRDefault="00F574AE" w:rsidP="00E64A04">
            <w:pPr>
              <w:rPr>
                <w:bCs/>
                <w:sz w:val="22"/>
                <w:szCs w:val="22"/>
              </w:rPr>
            </w:pPr>
            <w:r w:rsidRPr="00454B56">
              <w:rPr>
                <w:bCs/>
                <w:sz w:val="22"/>
                <w:szCs w:val="22"/>
              </w:rPr>
              <w:t>-</w:t>
            </w:r>
          </w:p>
        </w:tc>
        <w:tc>
          <w:tcPr>
            <w:tcW w:w="1132" w:type="dxa"/>
            <w:tcBorders>
              <w:top w:val="single" w:sz="4" w:space="0" w:color="auto"/>
            </w:tcBorders>
          </w:tcPr>
          <w:p w:rsidR="00F574AE" w:rsidRPr="00930846" w:rsidRDefault="00F574AE" w:rsidP="00E64A04">
            <w:pPr>
              <w:rPr>
                <w:bCs/>
                <w:sz w:val="22"/>
                <w:szCs w:val="22"/>
              </w:rPr>
            </w:pPr>
            <w:r w:rsidRPr="00930846">
              <w:rPr>
                <w:bCs/>
                <w:sz w:val="22"/>
                <w:szCs w:val="22"/>
              </w:rPr>
              <w:t>+</w:t>
            </w:r>
          </w:p>
        </w:tc>
        <w:tc>
          <w:tcPr>
            <w:tcW w:w="1271" w:type="dxa"/>
            <w:tcBorders>
              <w:top w:val="single" w:sz="4" w:space="0" w:color="auto"/>
            </w:tcBorders>
          </w:tcPr>
          <w:p w:rsidR="00F574AE" w:rsidRPr="00B0712B" w:rsidRDefault="00F574AE" w:rsidP="00E64A04">
            <w:pPr>
              <w:rPr>
                <w:bCs/>
                <w:sz w:val="22"/>
                <w:szCs w:val="22"/>
              </w:rPr>
            </w:pPr>
            <w:r w:rsidRPr="00B0712B">
              <w:rPr>
                <w:bCs/>
                <w:sz w:val="22"/>
                <w:szCs w:val="22"/>
              </w:rPr>
              <w:t>-</w:t>
            </w:r>
          </w:p>
        </w:tc>
        <w:tc>
          <w:tcPr>
            <w:tcW w:w="1283" w:type="dxa"/>
            <w:tcBorders>
              <w:top w:val="single" w:sz="4" w:space="0" w:color="auto"/>
            </w:tcBorders>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 xml:space="preserve">Acer </w:t>
            </w:r>
          </w:p>
          <w:p w:rsidR="00F574AE" w:rsidRPr="00F85D3C" w:rsidRDefault="00F574AE" w:rsidP="00E64A04">
            <w:pPr>
              <w:rPr>
                <w:i/>
                <w:sz w:val="22"/>
                <w:szCs w:val="22"/>
              </w:rPr>
            </w:pPr>
            <w:r w:rsidRPr="00F85D3C">
              <w:rPr>
                <w:i/>
                <w:sz w:val="22"/>
                <w:szCs w:val="22"/>
              </w:rPr>
              <w:t>saccharum</w:t>
            </w:r>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"(Kellman 2004)", "manualFormatting": "Kellman 2004"}, "citationItems": [{"uris": ["http://www.mendeley.com/documents/?uuid=a79ef81f-da8d-4789-b282-825be9db03f5"], "id": "ITEM-1", "itemData": {"publisher": "BLACKWELL PUBLISHING LTD", "DOI": "10.1111/j.1365-2699.2004.01128.x", "type": "article-journal", "publisher-place": "9600 GARSINGTON RD, OXFORD OX4 2DG, OXON, ENGLAND", "author": [{"given": "Martin", "dropping-particle": "", "suffix": "", "family": "Kellman", "parse-names": false, "non-dropping-particle": ""}], "issued": {"date-parts": [["2004", "9", "24"]]}, "abstract": "Aim To evaluate whether seedlings of sugar maple (Acer saccharum Marsh.) can establish beyond the species northern range limit in adjacent boreal forest. Location The hardwood-boreal forest transition zone on the north-east shore of Lake Superior, Ontario, Canada. Methods Seed fall of sugar maple was monitored for 5 years in a stand of this species at its northern range limit, and seed from this stand was transplanted to five micro-habitat types in an adjacent boreal forest. The establishment and survival of sugar maple seedlings there, and in the seed-source stand, was monitored for the following 7-11 years. Soil-surface light levels were measured in both forest types. Results Most seed fell in the final year of monitoring, when c. 250 seeds m(-2) were recorded. First-year seedling establishment rates in the maple stand, deriving from this mast seed year, was approximately double that deriving from seed transplanted to the boreal forest sites; this is tentatively attributed to seed predator satiation in the maple stand. However, subsequent seedling survivorship in the boreal forest was greater than that in the maple stand, resulting in comparable seedling densities by the end of 6 years. This difference is tentatively attributed to better illumination in the boreal forest sites, and canopy-opening disturbances appear to be especially facilitative of seedling survival. Main conclusions There is no fundamental impediment to sugar maple seedlings establishing in boreal forest communities if climate warming occurs and seed is available. If management intervention is needed to accelerate seed availability in a rapidly warming boreal forest, then diffuse seed application to disturbed boreal forest sites during mast years of local boreal tree species is recommended as the most effective way of avoiding seed predation and increasing seedling survival.", "ISSN": "0305-0270", "page": "1515-1522", "volume": "31", "container-title": "Journal of Biogeography", "title": "Sugar maple (Acer saccharum Marsh.) establishment in boreal forest: results of a transplantation experiment", "issue": "9",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Kellman 2004</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Anelosimus</w:t>
            </w:r>
            <w:proofErr w:type="spellEnd"/>
            <w:r w:rsidRPr="00F85D3C">
              <w:rPr>
                <w:i/>
                <w:sz w:val="22"/>
                <w:szCs w:val="22"/>
              </w:rPr>
              <w:t xml:space="preserve"> </w:t>
            </w:r>
            <w:proofErr w:type="spellStart"/>
            <w:r w:rsidRPr="00F85D3C">
              <w:rPr>
                <w:i/>
                <w:sz w:val="22"/>
                <w:szCs w:val="22"/>
              </w:rPr>
              <w:t>baeza</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"(Purcell &amp; Aviles 2008)", "manualFormatting": "Purcell &amp; Aviles 2008"}, "citationItems": [{"uris": ["http://www.mendeley.com/documents/?uuid=5b4d1324-d86b-49bb-a529-1cff841ab6bd"], "id": "ITEM-1", "itemData": {"publisher": "ROYAL SOC", "DOI": "10.1098/rspb.2008.0582", "type": "article-journal", "publisher-place": "6-9 CARLTON HOUSE TERRACE, LONDON SW1Y 5AG, ENGLAND", "author": [{"given": "Jessica", "dropping-particle": "", "suffix": "", "family": "Purcell", "parse-names": false, "non-dropping-particle": ""}, {"given": "Leticia", "dropping-particle": "", "suffix": "", "family": "Aviles", "parse-names": false, "non-dropping-particle": ""}], "issued": {"date-parts": [["2008", "11"]]}, "abstract": "Species range boundaries often form along environmental gradients that dictate the success of the phenotypes present in each habitat. Sociality may allow colonization of environments where related species with a solitary lifestyle cannot persist. Social spiders in the genus Anelosimus appear restricted to low- and mid-elevation moist environments in the tropics, while subsocial spiders, common at higher elevations and latitudes, appear to be absent from the lowland tropical rainforest. Here, we seek factors that may simultaneously prevent subsocial Anelosimus species from colonizing the lowland rainforest while favouring species with large social groups in this habitat. To this end, we transplanted small groups of a subsocial species, which contain the offspring of a single female, from cloud forest habitat in the centre of its natural range to lower montane rainforest on the range margin and to lowland rainforest outside of the species range. Groups transplanted at the range margin and below their range limit were less likely to disperse and experienced increased mortality. This was correlated with greater rainfall intensity and ant abundance. We show that protection from rainfall enhances the performance of small groups of spiders in the lowland rainforest, and suggest that predation or disturbance by ants may influence the geographical range limits of this species.", "ISSN": "0962-8452", "page": "2617-2625", "volume": "275", "container-title": "Proceedings of the Royal Society B: Biological Sciences", "title": "Gradients of precipitation and ant abundance may contribute to the altitudinal range limit of subsocial spiders: insights from a transplant experiment", "issue": "1651",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Purcell &amp; Aviles 2008</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V</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Aphragmus</w:t>
            </w:r>
            <w:proofErr w:type="spellEnd"/>
            <w:r w:rsidRPr="00F85D3C">
              <w:rPr>
                <w:i/>
                <w:sz w:val="22"/>
                <w:szCs w:val="22"/>
              </w:rPr>
              <w:t xml:space="preserve"> </w:t>
            </w:r>
            <w:proofErr w:type="spellStart"/>
            <w:r w:rsidRPr="00F85D3C">
              <w:rPr>
                <w:i/>
                <w:sz w:val="22"/>
                <w:szCs w:val="22"/>
              </w:rPr>
              <w:t>oxycarpus</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Klimeš &amp; Dolezal 2010</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V</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 xml:space="preserve">Arnica </w:t>
            </w:r>
          </w:p>
          <w:p w:rsidR="00F574AE" w:rsidRPr="00F85D3C" w:rsidRDefault="00F574AE" w:rsidP="00E64A04">
            <w:pPr>
              <w:rPr>
                <w:i/>
                <w:sz w:val="22"/>
                <w:szCs w:val="22"/>
              </w:rPr>
            </w:pPr>
            <w:proofErr w:type="spellStart"/>
            <w:r w:rsidRPr="00F85D3C">
              <w:rPr>
                <w:i/>
                <w:sz w:val="22"/>
                <w:szCs w:val="22"/>
              </w:rPr>
              <w:t>montana</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"(Bruelheide &amp; Scheidel 1999)", "manualFormatting": "Bruelheide &amp; Scheidel 1999"}, "citationItems": [{"uris": ["http://www.mendeley.com/documents/?uuid=b48e873d-62dc-4a96-8dab-ea41dacde8dc"], "id": "ITEM-1", "itemData": {"DOI": "10.1046/j.1365-2745.1999.00403.x", "type": "article-journal", "author": [{"given": "Helge", "dropping-particle": "", "suffix": "", "family": "Bruelheide", "parse-names": false, "non-dropping-particle": ""}, {"given": "Ulrich", "dropping-particle": "", "suffix": "", "family": "Scheidel", "parse-names": false, "non-dropping-particle": ""}], "issued": {"date-parts": [["1999", "10"]]}, "abstract": "1 We tested whether slug herbivory is a factor restricting the rare perennial Arnica montana to high elevations in the Hart mountains, Lower Saxony. 2 In one experiment we artificially increased the mollusc population density in plots containing native: Arnica montana populations. Leaf loss and damage to Arnica increased significantly, whilst damage to other plant species in the same plots was unaffected by mollusc density. 3 A second experiment examined damage by molluscs of transplanted Arnica montana plants at three different altitudes. Whilst damage to Arnica was negligible at 610 m a.s.l. (where natural populations occur), molluscs removed 8% of Arnica leaf area at 385 m a.s.l. and 75% at 180 m a.s.l. At the two lower sites, protective caging of Arnica plants significantly reduced the amount of leaf tissue consumed by molluscs. The impact of mollusc herbivory on Arnica montana therefore appears to increase with decreasing altitude. 4 Despite the weak relationship between leaf damage to Arnica montana and mollusc abundance, periods of peak mollusc activity may well coincide with those phases in Arnica life history that are most sensitive to tissue removal by herbivores. 5 Our results support the hypothesis that polyphagous herbivores play a major role in limiting the distribution of preferred plant species. We discuss how selective herbivory may influence the distribution of Arnica montana populations in these grassland communities.", "ISSN": "0022-0477", "page": "839-848", "volume": "87", "container-title": "Journal of Ecology", "title": "Slug herbivory as a limiting factor for the geographical range of Arnica montana", "issue": "5",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Bruelheide &amp; Scheidel 1999</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V</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Atalopedes</w:t>
            </w:r>
            <w:proofErr w:type="spellEnd"/>
            <w:r w:rsidRPr="00F85D3C">
              <w:rPr>
                <w:i/>
                <w:sz w:val="22"/>
                <w:szCs w:val="22"/>
              </w:rPr>
              <w:t xml:space="preserve"> campestris</w:t>
            </w:r>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"(Crozier 2004)", "manualFormatting": "Crozier 2004"}, "citationItems": [{"uris": ["http://www.mendeley.com/documents/?uuid=32c940cb-0511-4afd-97be-698a82fc54e6"], "id": "ITEM-1", "itemData": {"DOI": "10.1007/s00442-004-1634-z", "type": "article-journal", "author": [{"given": "Lisa G", "dropping-particle": "", "suffix": "", "family": "Crozier", "parse-names": false, "non-dropping-particle": ""}], "issued": {"date-parts": [["2004", "9"]]}, "ISSN": "0029-8549", "page": "148-157", "volume": "141", "container-title": "Oecologia", "title": "Field transplants reveal summer constraints on a butterfly range expansion", "issue": "1",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Crozier 2004</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vertAlign w:val="subscript"/>
              </w:rPr>
            </w:pPr>
            <w:r w:rsidRPr="002A6B03">
              <w:rPr>
                <w:bCs/>
                <w:sz w:val="22"/>
                <w:szCs w:val="22"/>
                <w:vertAlign w:val="subscript"/>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Betula</w:t>
            </w:r>
          </w:p>
          <w:p w:rsidR="00F574AE" w:rsidRPr="00F85D3C" w:rsidRDefault="00F574AE" w:rsidP="00E64A04">
            <w:pPr>
              <w:rPr>
                <w:i/>
                <w:sz w:val="22"/>
                <w:szCs w:val="22"/>
              </w:rPr>
            </w:pPr>
            <w:proofErr w:type="spellStart"/>
            <w:r w:rsidRPr="00F85D3C">
              <w:rPr>
                <w:i/>
                <w:sz w:val="22"/>
                <w:szCs w:val="22"/>
              </w:rPr>
              <w:t>papyrifera</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"(Hobbie &amp; Chapin III 1998)", "manualFormatting": "Hobbie &amp; Chapin  1998"}, "citationItems": [{"uris": ["http://www.mendeley.com/documents/?uuid=21c46071-cf71-4981-9163-98eb1a4c6706"], "id": "ITEM-1", "itemData": {"DOI": "10.1046/j.1365-2745.1998.00278.x", "type": "article-journal", "author": [{"given": "Sarah E", "dropping-particle": "", "suffix": "", "family": "Hobbie", "parse-names": false, "non-dropping-particle": ""}, {"given": "F Stuart", "dropping-particle": "", "suffix": "", "family": "Chapin III", "parse-names": false, "non-dropping-particle": ""}], "issued": {"date-parts": [["1998", "6"]]}, "abstract": "1 Five treeline species had low seed germination rates and low survivorship and growth of seedlings when transplanted into Alaskan tundra. Seed germination of all species increased with experimental warming, suggesting that the present treeline may in part result from unsuccessful recruitment under cold conditions. 2 Growth, biomass and survivorship of seedlings of treeline species transplanted into tundra were largely unaffected by experimental warming. However, transplanted seedlings of three species (Betula papyrifera, Picea glauca and Populus tremuloides) grew more when below-ground competition with the extant community was reduced. All three measures of transplant performance were greater in shrub tundra than in the less productive tussock or heath tundra. Establishment of trees in tundra may thus be prevented by low resource availability and competition. 3 Two species (Alnus crispa and Populus balsamifera) had low seed germination and survivorship of germinated seeds; transplants of these species did not respond to the manipulations and lost biomass following transplanting into tundra. Isolated populations of these two species north of the present treeline in arctic Alaska probably became established during mid-Holocene warming rather than in recent times. 4 Of all the species studied here, Picea glauca was the most likely to invade intact upland tundra. Its seeds had the highest germination rates and it was the only species whose seedlings survived subsequently. Furthermore, transplanted seedlings of Picea glauca had relatively high survivorship and positive growth in tundra, especially in treatments that increased air temperature or nutrient availability, two factors likely to increase with climate warming.", "ISSN": "0022-0477", "page": "449-461", "volume": "86", "container-title": "Journal of Ecology", "title": "An experimental test of limits to tree establishment in Arctic tundra", "issue": "3",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Hobbie &amp; Chapin  1998</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Camissoniopsis</w:t>
            </w:r>
            <w:proofErr w:type="spellEnd"/>
            <w:r w:rsidRPr="00F85D3C">
              <w:rPr>
                <w:i/>
                <w:sz w:val="22"/>
                <w:szCs w:val="22"/>
              </w:rPr>
              <w:t xml:space="preserve"> </w:t>
            </w:r>
            <w:proofErr w:type="spellStart"/>
            <w:r w:rsidRPr="00F85D3C">
              <w:rPr>
                <w:i/>
                <w:sz w:val="22"/>
                <w:szCs w:val="22"/>
              </w:rPr>
              <w:t>cheiranthifolia</w:t>
            </w:r>
            <w:proofErr w:type="spellEnd"/>
            <w:r w:rsidRPr="00F85D3C">
              <w:rPr>
                <w:sz w:val="22"/>
                <w:szCs w:val="22"/>
              </w:rPr>
              <w:t>**</w:t>
            </w:r>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"(Samis &amp; Eckert 2009)", "manualFormatting": "Samis &amp; Eckert 2009"}, "citationItems": [{"uris": ["http://www.mendeley.com/documents/?uuid=e1bc50db-1186-42f9-831f-e2921fe78b9f"], "id": "ITEM-1", "itemData": {"volume": "90", "publisher": "ECOLOGICAL SOC AMER", "DOI": "10.1890/08-1914.1", "type": "article-journal", "publisher-place": "1990 M STREET NW, STE 700, WASHINGTON, DC 20036 USA", "author": [{"given": "Karen E", "dropping-particle": "", "suffix": "", "family": "Samis", "parse-names": false, "non-dropping-particle": ""}, {"given": "Christopher G", "dropping-particle": "", "suffix": "", "family": "Eckert", "parse-names": false, "non-dropping-particle": ""}], "issued": {"date-parts": [["2009", "11"]]}, "abstract": "A species is expected to occur where the prevailing biotic and abiotic conditions fall within its fundamental niche. Geographic range limits should, therefore, occur when the survival and fitness of individuals along ecological gradients is reduced to the point at which populations are no longer self-sustaining. Abrupt limits to a species' distribution are expected to reflect abrupt changes in the ecological conditions that cause sharp declines in fitness across the limit. We investigated the correlation between geographic variation in environment and fitness across the abrupt northern range limit of a coastal dune plant, Camissoniopsis cheiranthifolia (Onagraceae). In each of 64 plots distributed across five sites along a 200-km transect spanning the species' northern range limit (four within the range plus one beyond the limit), we measured plant community composition as a proxy for variation in biotic and abiotic environmental factors and lifetime fitness of genetically standardized experimental populations of C. cheiranthifolia. There was substantial variation in plant community composition among plots and sites across the range limit, and fitness of experimental plants covaried strongly with the first principal component of plant community composition. However, we did not detect an abrupt shift in plant community or the expected decline in fitness across the range limit. In fact, fitness and recruitment increased toward the limit and were relatively high beyond the limit. This suggests that habitat beyond the range did not occur outside of the species' fundamental niche. These results challenge niche-based explanations for range limits and suggest that hypotheses involving the finer-scale distribution of habitat patches or constraints on dispersal warrant more serious consideration.", "ISSN": "0012-9658", "page": "3051-3061", "note": "130221\n\n        \n\n        \n\n        \n\n        \n\n        \n\n        \n\n        \n\n        \n\n        \n\n        \n\n        \n\n        \n\n        \n\n        \n\n        \n\n        \nis lewisii \"replacing\" cardinalis at some range limits?\n\n        \n\n        \n\n        \n\n        \n\n        \n\n        \n\n        \n\n        \n\n        \n\n        \n\n        \n\n        \n\n        \n\n        \n\n        \n\n        \nmeasured variation in pl. community composition as a proxy for more complex ecological variation\n\n        \n\n        \n\n        \n\n        \n\n        \n\n        \n\n        \n\n        \n\n        \n\n        \n\n        \n\n        \n\n        \n\n        \n\n        \n\n        \nquestions: is there an ecological gradient? is there an environmental gradient? do factors of these gradients covary with fitness of transplanted populations?\n\n        \n\n        \n\n        \n\n        \n\n        \n\n        \n\n        \n\n        \n\n        \n\n        \n\n        \n\n        \n\n        \n\n        \n\n        \n\n        \ngradients kind of exist, fitness is high beyond range edge, occupancy is lower. no clear conclusion about why this species' limit exists.\n\n        \n\n        \n\n        \n\n        \n\n        \n\n        \n\n        \n\n        \n\n        \n\n        \n\n        \n\n        \n\n        \n\n        \n\n        \n\n        \nplants in northern half of the range are self fertilizing, how do population genetics play into this system?", "container-title": "Ecology", "title": "Ecological correlates of fitness across the northern geographic range limit of a Pacific Coast dune plant", "issue": "11",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Samis &amp; Eckert 2009</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2F59B3">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Chamaecrista</w:t>
            </w:r>
            <w:proofErr w:type="spellEnd"/>
            <w:r w:rsidRPr="00F85D3C">
              <w:rPr>
                <w:i/>
                <w:sz w:val="22"/>
                <w:szCs w:val="22"/>
              </w:rPr>
              <w:t xml:space="preserve"> fasciculata</w:t>
            </w:r>
            <w:r w:rsidRPr="00F85D3C">
              <w:rPr>
                <w:rFonts w:cs="Arial"/>
                <w:sz w:val="22"/>
                <w:szCs w:val="22"/>
                <w:vertAlign w:val="superscript"/>
              </w:rPr>
              <w:t>††</w:t>
            </w:r>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"(Stanton-Geddes &lt;i&gt;et al.&lt;/i&gt; 2012)", "manualFormatting": "Stanton-Geddes et al. 2012"}, "citationItems": [{"uris": ["http://www.mendeley.com/documents/?uuid=d5b45ece-c5a1-48a7-ad91-a136e529d55a"], "id": "ITEM-1", "itemData": {"type": "article-journal", "author": [{"given": "John", "dropping-particle": "", "suffix": "", "family": "Stanton-Geddes", "parse-names": false, "non-dropping-particle": ""}, {"given": "Peter", "dropping-particle": "", "suffix": "", "family": "Tiffin", "parse-names": false, "non-dropping-particle": ""}, {"given": "Ruth G", "dropping-particle": "", "suffix": "", "family": "Shaw", "parse-names": false, "non-dropping-particle": ""}], "issued": {"date-parts": [["2012"]]}, "title": "Role of climate and competitors in limiting fitness across range edges of an annual plant", "page": "1604-1613", "volume": "93", "container-title": "Ecology", "issue": "7",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Stanton-Geddes et al. 2012</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 xml:space="preserve">Clarkia </w:t>
            </w:r>
            <w:proofErr w:type="spellStart"/>
            <w:r w:rsidRPr="00F85D3C">
              <w:rPr>
                <w:i/>
                <w:sz w:val="22"/>
                <w:szCs w:val="22"/>
              </w:rPr>
              <w:t>xantiana</w:t>
            </w:r>
            <w:proofErr w:type="spellEnd"/>
            <w:r w:rsidRPr="00F85D3C">
              <w:rPr>
                <w:i/>
                <w:sz w:val="22"/>
                <w:szCs w:val="22"/>
              </w:rPr>
              <w:t xml:space="preserve"> ssp. </w:t>
            </w:r>
            <w:proofErr w:type="spellStart"/>
            <w:r w:rsidRPr="00F85D3C">
              <w:rPr>
                <w:i/>
                <w:sz w:val="22"/>
                <w:szCs w:val="22"/>
              </w:rPr>
              <w:t>parviflora</w:t>
            </w:r>
            <w:proofErr w:type="spellEnd"/>
            <w:r w:rsidRPr="00F85D3C">
              <w:rPr>
                <w:rFonts w:cs="Arial"/>
                <w:sz w:val="22"/>
                <w:szCs w:val="22"/>
                <w:vertAlign w:val="superscript"/>
              </w:rPr>
              <w:t>‡‡</w:t>
            </w:r>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"(Geber &amp; Eckhart 2005)", "manualFormatting": "Geber &amp; Eckhart 2005"}, "citationItems": [{"uris": ["http://www.mendeley.com/documents/?uuid=b8f70fce-b843-47f8-9f80-4a2660ec7dbc"], "id": "ITEM-1", "itemData": {"publisher": "SOC STUDY EVOLUTION", "DOI": "10.1554/04-265", "type": "article-journal", "publisher-place": "810 E 10TH STREET, LAWRENCE, KS 66044 USA", "author": [{"given": "Monica A", "dropping-particle": "", "suffix": "", "family": "Geber", "parse-names": false, "non-dropping-particle": ""}, {"given": "Vincent M", "dropping-particle": "", "suffix": "", "family": "Eckhart", "parse-names": false, "non-dropping-particle": ""}], "issued": {"date-parts": [["2005", "3"]]}, "abstract": "Because the range boundary is the locale beyond which a taxon fails to persist, it provides a unique opportunity for studying the limits on adaptive evolution. Adaptive constraints on range expansion are perplexing in view of widespread ecotypic differentiation by habitat and region within a species' range (regional adaptation) and rapid evolutionary response to novel environments. In this study of two parapatric subspecies, Clarkia xantiana ssp. xantiana and C. x. ssp. parviflora, we compared the fitness of population transplants within their native region, in a non-native region within the native range, and in the non-native range to assess whether range expansion might be limited by a greater intensity of selection on colonists of a new range versus a new region within the range. The combined range of the two subspecies spans a west-to-east gradient of declining precipitation in the Sierra Nevada of California, with ssp. xantiana in the west being replaced by ssp. parviflora in the east. Both subspecies had significantly higher fitness in the native range (range adaptation), whereas regional adaptation was weak and was found only in the predominantly outcrossing ssp. xantiana but was absent in the inbreeding ssp. parvifilora. Because selection intensity on transplants was much stronger in the non-native range relative to non-native regions, there is a larger adaptive barrier to range versus regional expansion. Three of five sequential fitness components accounted for regional and range adaptation, but only one of them, survivorship from germination to flowering, contributed to both. Flower number contributed to regional adaptation in ssp. xantiana and fruit set (number of fruits per flower) to range adaptation. Differential survivorship of the two taxa or regional populations of ssp. xantiana in non-native environments was attributable, in part, to biotic interactions, including competition, herbivory, and pollination. For example, low fruit set in ssp. xantiana in the east was likely due to the absence of its principal specialist bee pollinators in ssp. parviflora's range. Thus, convergence on self-fertilization may be necessary for ssp. xantiana to invade ssp. parviflora's range, but the evolution of outcrossing would not be required for ssp. parviflora to invade ssp. xantiana's range.", "ISSN": "0014-3820", "page": "521-531", "volume": "59", "container-title": "Evolution", "title": "Experimental studies of adaptation in Clarkia xantiana: II. Fitness variation across a subspecies border", "PMID": "15856695", "issue": "3",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Geber &amp; Eckhart 2005</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 xml:space="preserve">Clarkia </w:t>
            </w:r>
            <w:proofErr w:type="spellStart"/>
            <w:r w:rsidRPr="00F85D3C">
              <w:rPr>
                <w:i/>
                <w:sz w:val="22"/>
                <w:szCs w:val="22"/>
              </w:rPr>
              <w:t>xantiana</w:t>
            </w:r>
            <w:proofErr w:type="spellEnd"/>
            <w:r w:rsidRPr="00F85D3C">
              <w:rPr>
                <w:i/>
                <w:sz w:val="22"/>
                <w:szCs w:val="22"/>
              </w:rPr>
              <w:t xml:space="preserve"> ssp. </w:t>
            </w:r>
            <w:proofErr w:type="spellStart"/>
            <w:r w:rsidRPr="00F85D3C">
              <w:rPr>
                <w:i/>
                <w:sz w:val="22"/>
                <w:szCs w:val="22"/>
              </w:rPr>
              <w:t>xantiana</w:t>
            </w:r>
            <w:proofErr w:type="spellEnd"/>
            <w:r w:rsidRPr="00F85D3C">
              <w:rPr>
                <w:rFonts w:cs="Arial"/>
                <w:sz w:val="22"/>
                <w:szCs w:val="22"/>
                <w:vertAlign w:val="superscript"/>
              </w:rPr>
              <w:t>‡‡</w:t>
            </w:r>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"(Geber &amp; Eckhart 2005)", "manualFormatting": "Geber &amp; Eckhart 2005"}, "citationItems": [{"uris": ["http://www.mendeley.com/documents/?uuid=b8f70fce-b843-47f8-9f80-4a2660ec7dbc"], "id": "ITEM-1", "itemData": {"publisher": "SOC STUDY EVOLUTION", "DOI": "10.1554/04-265", "type": "article-journal", "publisher-place": "810 E 10TH STREET, LAWRENCE, KS 66044 USA", "author": [{"given": "Monica A", "dropping-particle": "", "suffix": "", "family": "Geber", "parse-names": false, "non-dropping-particle": ""}, {"given": "Vincent M", "dropping-particle": "", "suffix": "", "family": "Eckhart", "parse-names": false, "non-dropping-particle": ""}], "issued": {"date-parts": [["2005", "3"]]}, "abstract": "Because the range boundary is the locale beyond which a taxon fails to persist, it provides a unique opportunity for studying the limits on adaptive evolution. Adaptive constraints on range expansion are perplexing in view of widespread ecotypic differentiation by habitat and region within a species' range (regional adaptation) and rapid evolutionary response to novel environments. In this study of two parapatric subspecies, Clarkia xantiana ssp. xantiana and C. x. ssp. parviflora, we compared the fitness of population transplants within their native region, in a non-native region within the native range, and in the non-native range to assess whether range expansion might be limited by a greater intensity of selection on colonists of a new range versus a new region within the range. The combined range of the two subspecies spans a west-to-east gradient of declining precipitation in the Sierra Nevada of California, with ssp. xantiana in the west being replaced by ssp. parviflora in the east. Both subspecies had significantly higher fitness in the native range (range adaptation), whereas regional adaptation was weak and was found only in the predominantly outcrossing ssp. xantiana but was absent in the inbreeding ssp. parvifilora. Because selection intensity on transplants was much stronger in the non-native range relative to non-native regions, there is a larger adaptive barrier to range versus regional expansion. Three of five sequential fitness components accounted for regional and range adaptation, but only one of them, survivorship from germination to flowering, contributed to both. Flower number contributed to regional adaptation in ssp. xantiana and fruit set (number of fruits per flower) to range adaptation. Differential survivorship of the two taxa or regional populations of ssp. xantiana in non-native environments was attributable, in part, to biotic interactions, including competition, herbivory, and pollination. For example, low fruit set in ssp. xantiana in the east was likely due to the absence of its principal specialist bee pollinators in ssp. parviflora's range. Thus, convergence on self-fertilization may be necessary for ssp. xantiana to invade ssp. parviflora's range, but the evolution of outcrossing would not be required for ssp. parviflora to invade ssp. xantiana's range.", "ISSN": "0014-3820", "page": "521-531", "volume": "59", "container-title": "Evolution", "title": "Experimental studies of adaptation in Clarkia xantiana: II. Fitness variation across a subspecies border", "PMID": "15856695", "issue": "3",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Geber &amp; Eckhart 2005</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 xml:space="preserve">Digitalis </w:t>
            </w:r>
            <w:proofErr w:type="spellStart"/>
            <w:r w:rsidRPr="00F85D3C">
              <w:rPr>
                <w:i/>
                <w:sz w:val="22"/>
                <w:szCs w:val="22"/>
              </w:rPr>
              <w:t>purpurea</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"(Bruelheide &amp; Heinemeyer 2002)", "manualFormatting": "Bruelheide &amp; Heinemeyer 2002"}, "citationItems": [{"uris": ["http://www.mendeley.com/documents/?uuid=10784a73-f98c-4396-be18-3183c87e2e42"], "id": "ITEM-1", "itemData": {"publisher": "ELSEVIER GMBH, URBAN &amp; FISCHER VERLAG", "DOI": "10.1078/0367-2530-00064", "type": "article-journal", "publisher-place": "OFFICE JENA, P O BOX 100537, 07705 JENA, GERMANY", "author": [{"given": "Helge", "dropping-particle": "", "suffix": "", "family": "Bruelheide", "parse-names": false, "non-dropping-particle": ""}, {"given": "Andreas", "dropping-particle": "", "suffix": "", "family": "Heinemeyer", "parse-names": false, "non-dropping-particle": ""}], "issued": {"date-parts": [["2002"]]}, "abstract": "Digitalis purpurea was studied as a representative of a plant species with subatlantic geographical distribution in Central Germany with the objective of identifying the underlying climatic causes of the species' eastern distribution boundary. A transplantation experiment with 1-year-old plants and seeds was performed along a ca. 100 km west-east transect across the regional distribution boundary in northwest Thuringia and along an altitudinal transect from 380 m to H 30 m a.s.l. in the Harz Mountains. Continuous measurements of air temperatures below rosette leaves confirmed a clear gradient of increasing mean temperatures with decreasing elevation and, with the exception of one field site, from west to east. Biometrical measurements of the transplants and the survival rate of seedlings generally matched the temperature gradients. Photosynthesis measurements along the elevational transect showed that differences in growth between altitudes were reflected in differences of temperature optima of net assimilation. Seedling mortality was highest in winter at the highest and at the easternmost plot. Although this should be a clear indication of frost sensitivity, there was no satisfactory correlation with absolute minimum temperatures below the rosettes, which exhibited a range between -4.1degreesC and -9.2degreesC. Frost tolerance experiments were carried out in a freeze chamber at the end of the winter. Significant damage to leaves was found at -12degreesC or below; whereas the threshold for buds and roots was -15degreesC and -18degreesC, respectively. Although frost events of this magnitude were not observed below the rosettes during the period of investigation, mainly because of snow cover, they occur regularly in the study area. In addition to the winter conditions, summer drought was found to have a strong influence on growth of adult plants at the eastern sites. This was confirmed by a manipulative experiment with additional watering. Transpiration experiments also showed a strong water deficit in unwatered plants in the east. The general conclusion from the study is that frost events in winter, which mainly affect the survival of seedlings, combined with summer drought periods, which mainly limit growth of adults, explain the eastern distribution boundary of Digitalis purpurea.", "ISSN": "0367-2530", "page": "475-490", "volume": "197", "container-title": "Flora", "title": "Climatic factors controlling the eastern and altitudinal distribution boundary of Digitalis purpurea L. in Germany", "issue": "6",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Bruelheide &amp; Heinemeyer 2002</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Both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Draba</w:t>
            </w:r>
            <w:proofErr w:type="spellEnd"/>
            <w:r w:rsidRPr="00F85D3C">
              <w:rPr>
                <w:i/>
                <w:sz w:val="22"/>
                <w:szCs w:val="22"/>
              </w:rPr>
              <w:t xml:space="preserve"> </w:t>
            </w:r>
          </w:p>
          <w:p w:rsidR="00F574AE" w:rsidRPr="00F85D3C" w:rsidRDefault="00F574AE" w:rsidP="00E64A04">
            <w:pPr>
              <w:rPr>
                <w:i/>
                <w:sz w:val="22"/>
                <w:szCs w:val="22"/>
              </w:rPr>
            </w:pPr>
            <w:proofErr w:type="spellStart"/>
            <w:r w:rsidRPr="00F85D3C">
              <w:rPr>
                <w:i/>
                <w:sz w:val="22"/>
                <w:szCs w:val="22"/>
              </w:rPr>
              <w:t>altaica</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Klimeš &amp; Dolezal 2010</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V</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Draba</w:t>
            </w:r>
            <w:proofErr w:type="spellEnd"/>
            <w:r w:rsidRPr="00F85D3C">
              <w:rPr>
                <w:i/>
                <w:sz w:val="22"/>
                <w:szCs w:val="22"/>
              </w:rPr>
              <w:t xml:space="preserve"> </w:t>
            </w:r>
          </w:p>
          <w:p w:rsidR="00F574AE" w:rsidRPr="00F85D3C" w:rsidRDefault="00F574AE" w:rsidP="00E64A04">
            <w:pPr>
              <w:rPr>
                <w:i/>
                <w:sz w:val="22"/>
                <w:szCs w:val="22"/>
              </w:rPr>
            </w:pPr>
            <w:proofErr w:type="spellStart"/>
            <w:r w:rsidRPr="00F85D3C">
              <w:rPr>
                <w:i/>
                <w:sz w:val="22"/>
                <w:szCs w:val="22"/>
              </w:rPr>
              <w:lastRenderedPageBreak/>
              <w:t>oreades</w:t>
            </w:r>
            <w:proofErr w:type="spellEnd"/>
          </w:p>
        </w:tc>
        <w:tc>
          <w:tcPr>
            <w:tcW w:w="1466" w:type="dxa"/>
          </w:tcPr>
          <w:p w:rsidR="00F574AE" w:rsidRPr="00F85D3C" w:rsidRDefault="00F714DC" w:rsidP="00E64A04">
            <w:pPr>
              <w:rPr>
                <w:sz w:val="22"/>
                <w:szCs w:val="22"/>
              </w:rPr>
            </w:pPr>
            <w:r w:rsidRPr="00F85D3C">
              <w:rPr>
                <w:sz w:val="22"/>
                <w:szCs w:val="22"/>
              </w:rPr>
              <w:lastRenderedPageBreak/>
              <w:fldChar w:fldCharType="begin"/>
            </w:r>
            <w:r w:rsidR="00F574AE" w:rsidRPr="00F85D3C">
              <w:rPr>
                <w:sz w:val="22"/>
                <w:szCs w:val="22"/>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 xml:space="preserve">Klimeš &amp; </w:t>
            </w:r>
            <w:r w:rsidR="00F574AE" w:rsidRPr="00F85D3C">
              <w:rPr>
                <w:noProof/>
                <w:sz w:val="22"/>
                <w:szCs w:val="22"/>
              </w:rPr>
              <w:lastRenderedPageBreak/>
              <w:t>Dolezal 2010</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lastRenderedPageBreak/>
              <w:t>V</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 xml:space="preserve">Euphorbia </w:t>
            </w:r>
            <w:proofErr w:type="spellStart"/>
            <w:r w:rsidRPr="00F85D3C">
              <w:rPr>
                <w:i/>
                <w:sz w:val="22"/>
                <w:szCs w:val="22"/>
              </w:rPr>
              <w:t>amygdaloides</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"(Schulz &amp; Bruelheide 1999)", "manualFormatting": "Schulz &amp; Bruelheide 1999"}, "citationItems": [{"uris": ["http://www.mendeley.com/documents/?uuid=737696b6-428c-4a9a-9bf6-83e076d9891a"], "id": "ITEM-1", "itemData": {"collection-title": "MONTE VERITA : PROCEEDINGS OF THE CENTRO STEFANO FRANSCINI ASCONA", "ISBN": "3-7643-6086-0", "author": [{"given": "C", "dropping-particle": "", "suffix": "", "family": "Schulz", "parse-names": false, "non-dropping-particle": ""}, {"given": "Helge", "dropping-particle": "", "suffix": "", "family": "Bruelheide", "parse-names": false, "non-dropping-particle": ""}], "issued": {"date-parts": [["1999"]]}, "title": "An experimental study on the impact of winter temperature on the distribution of Euphorbia amygdaloides L. in Central Germany", "page": "121-150", "note": "Conference on Recent Shifts in Vegetation Boundaries of Deciduous\nForests, Especially Due to General Global Warming, ASCONA, SWITZERLAND, \n,", "editor": [{"given": "GR", "dropping-particle": "", "suffix": "", "family": "Klotzli, F and Walther", "parse-names": false, "non-dropping-particle": ""}], "container-title": "Conference on Recent Shifts in Vegetation Boundaries of Deciduous Forests", "type": "paper-conference",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Schulz &amp; Bruelheide 1999</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 xml:space="preserve">Gilia </w:t>
            </w:r>
            <w:proofErr w:type="spellStart"/>
            <w:r w:rsidRPr="00F85D3C">
              <w:rPr>
                <w:i/>
                <w:sz w:val="22"/>
                <w:szCs w:val="22"/>
              </w:rPr>
              <w:t>capitata</w:t>
            </w:r>
            <w:proofErr w:type="spellEnd"/>
            <w:r w:rsidRPr="00F85D3C">
              <w:rPr>
                <w:i/>
                <w:sz w:val="22"/>
                <w:szCs w:val="22"/>
              </w:rPr>
              <w:t xml:space="preserve"> ssp. </w:t>
            </w:r>
            <w:proofErr w:type="spellStart"/>
            <w:r w:rsidRPr="00F85D3C">
              <w:rPr>
                <w:i/>
                <w:sz w:val="22"/>
                <w:szCs w:val="22"/>
              </w:rPr>
              <w:t>capitata</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"(Nagy &amp; Rice 1997)", "manualFormatting": "Nagy &amp; Rice 1997"}, "citationItems": [{"uris": ["http://www.mendeley.com/documents/?uuid=d2ed6b58-396e-4171-9238-5d8c5a65e0fd"], "id": "ITEM-1", "itemData": {"DOI": "10.2307/2411037", "type": "article-journal", "author": [{"given": "Eric S", "dropping-particle": "", "suffix": "", "family": "Nagy", "parse-names": false, "non-dropping-particle": ""}, {"given": "Kevin J", "dropping-particle": "", "suffix": "", "family": "Rice", "parse-names": false, "non-dropping-particle": ""}], "issued": {"date-parts": [["1997", "8"]]}, "abstract": "Plant populations often adapt to local environmental conditions. Here we demonstrate local adaptation in two subspecies of the California native annual Gilia capitata using standard reciprocal transplant techniques in two sites (coastal and inland) over three consecutive years. Subspecies performance in each site was measured in four ways: probability of seedling emergence, early vegetative size (length of longest leaf), probability of flowering, and total number of inflorescences produced per plant. Analysis of three of the four variables demonstrated local adaptation through site-by-subspecies interactions in which natives outperformed immigrants. The disparity between natives and immigrants in their probability of emergence and probability of flowering was greater at the coastal site than at the inland site. Treated in isolation, these two fitness components suggest that migration from the coast to the inland site may be less restricted by selection than migration in the opposite direction. Two measurements of individual size (leaf length and number of inflorescences), suggest (though not strongly) that immigrants may be subject to weaker selection at the coastal site than at the inland site. A standard cohort life table is used to compare replacement rates (R-0) for each subspecies at each site. Comparisons of R(0)s suggest that immigrants are under a severe demographic disadvantage at the coastal site, but only a small disadvantage at the inland site. The results point out the importance of integrating over several fitness components when documenting the magnitude of local adaptation.", "ISSN": "0014-3820", "page": "1079-1089", "volume": "51", "container-title": "Evolution", "title": "Local adaptation in two subspecies of an annual plant: Implications for migration and gene flow", "issue": "4",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Nagy &amp; Rice 1997</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Hordeum</w:t>
            </w:r>
            <w:proofErr w:type="spellEnd"/>
            <w:r w:rsidRPr="00F85D3C">
              <w:rPr>
                <w:i/>
                <w:sz w:val="22"/>
                <w:szCs w:val="22"/>
              </w:rPr>
              <w:t xml:space="preserve"> </w:t>
            </w:r>
            <w:proofErr w:type="spellStart"/>
            <w:r w:rsidRPr="00F85D3C">
              <w:rPr>
                <w:i/>
                <w:sz w:val="22"/>
                <w:szCs w:val="22"/>
              </w:rPr>
              <w:t>murinum</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"(Davison 1977)", "manualFormatting": "Davison 1977"}, "citationItems": [{"uris": ["http://www.mendeley.com/documents/?uuid=b24a6851-3722-4ee3-95a7-2de2cc075635"], "id": "ITEM-1", "itemData": {"type": "article-journal", "author": [{"given": "A W", "dropping-particle": "", "suffix": "", "family": "Davison", "parse-names": false, "non-dropping-particle": ""}], "issued": {"date-parts": [["1977"]]}, "title": "The ecology of Hordeum murinum L.: III. Some effects of adverse climate", "page": "523-530", "volume": "65", "container-title": "Journal of Ecology", "issue": "2",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Davison 1977</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V</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Lactuca</w:t>
            </w:r>
            <w:proofErr w:type="spellEnd"/>
            <w:r w:rsidRPr="00F85D3C">
              <w:rPr>
                <w:i/>
                <w:sz w:val="22"/>
                <w:szCs w:val="22"/>
              </w:rPr>
              <w:t xml:space="preserve"> </w:t>
            </w:r>
          </w:p>
          <w:p w:rsidR="00F574AE" w:rsidRPr="00F85D3C" w:rsidRDefault="00F574AE" w:rsidP="00E64A04">
            <w:pPr>
              <w:rPr>
                <w:i/>
                <w:sz w:val="22"/>
                <w:szCs w:val="22"/>
              </w:rPr>
            </w:pPr>
            <w:proofErr w:type="spellStart"/>
            <w:r w:rsidRPr="00F85D3C">
              <w:rPr>
                <w:i/>
                <w:sz w:val="22"/>
                <w:szCs w:val="22"/>
              </w:rPr>
              <w:t>serriola</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"(Prince &amp; Carter 1985)", "manualFormatting": "Prince &amp; Carter 1985"}, "citationItems": [{"uris": ["http://www.mendeley.com/documents/?uuid=a724c65a-48dc-4239-a9d9-d8980fcc08ed"], "id": "ITEM-1", "itemData": {"type": "article-journal", "author": [{"given": "S D", "dropping-particle": "", "suffix": "", "family": "Prince", "parse-names": false, "non-dropping-particle": ""}, {"given": "R N", "dropping-particle": "", "suffix": "", "family": "Carter", "parse-names": false, "non-dropping-particle": ""}], "issued": {"date-parts": [["1985"]]}, "title": "The Geographical Distribution of Prickly Lettuce ( Lactuca Serriola ): III . Its Performance in Transplant Sites Beyond its Distribution Limit in Britain", "page": "49-64", "volume": "73", "container-title": "Journal of Ecology", "issue": "1",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Prince &amp; Carter 1985</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Lipoptena</w:t>
            </w:r>
            <w:proofErr w:type="spellEnd"/>
          </w:p>
          <w:p w:rsidR="00F574AE" w:rsidRPr="00F85D3C" w:rsidRDefault="00F574AE" w:rsidP="00E64A04">
            <w:pPr>
              <w:rPr>
                <w:i/>
                <w:sz w:val="22"/>
                <w:szCs w:val="22"/>
              </w:rPr>
            </w:pPr>
            <w:proofErr w:type="spellStart"/>
            <w:r w:rsidRPr="00F85D3C">
              <w:rPr>
                <w:i/>
                <w:sz w:val="22"/>
                <w:szCs w:val="22"/>
              </w:rPr>
              <w:t>cervi</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"(H\u00e4rk\u00f6nen &lt;i&gt;et al.&lt;/i&gt; 2010)", "manualFormatting": "H\u00e4rk\u00f6nen et al. 2010"}, "citationItems": [{"uris": ["http://www.mendeley.com/documents/?uuid=b403e60d-86d5-4c05-92e1-3f9896a06efa"], "id": "ITEM-1", "itemData": {"volume": "33", "publisher": "WILEY-BLACKWELL PUBLISHING, INC", "DOI": "10.1111/j.1600-0587.2009.05890.x", "type": "article-journal", "publisher-place": "COMMERCE PLACE, 350 MAIN ST, MALDEN 02148, MA USA", "author": [{"given": "Laura", "dropping-particle": "", "suffix": "", "family": "H\u00e4rk\u00f6nen", "parse-names": false, "non-dropping-particle": ""}, {"given": "Sauli", "dropping-particle": "", "suffix": "", "family": "H\u00e4rk\u00f6nen", "parse-names": false, "non-dropping-particle": ""}, {"given": "Arja", "dropping-particle": "", "suffix": "", "family": "Kaitala", "parse-names": false, "non-dropping-particle": ""}, {"given": "Sirpa", "dropping-particle": "", "suffix": "", "family": "Kaunisto", "parse-names": false, "non-dropping-particle": ""}, {"given": "Raine", "dropping-particle": "", "suffix": "", "family": "Kortet", "parse-names": false, "non-dropping-particle": ""}, {"given": "Sauli", "dropping-particle": "", "suffix": "", "family": "Laaksonen", "parse-names": false, "non-dropping-particle": ""}, {"given": "Hannu", "dropping-particle": "", "suffix": "", "family": "Yl\u00f6nen", "parse-names": false, "non-dropping-particle": ""}], "issued": {"date-parts": [["2010", "10", "9"]]}, "abstract": "The range expansion of organisms towards higher latitudes and altitudes is often limited by colder temperatures and the shorter growth season. In parasites, survival outside the host is most likely to affect their potential establishment in novel environments. We conducted a large scale transplant experiment to predict the potential spread of the deer ked Lipoptena cervi (Diptera: Hippoboscidae), a blood-feeding ectoparasite of boreal cervids. We studied the off-host survival and pupal development of deer ked in five sites along a latitudinal gradient reaching from its current range in central Finland to northernmost Fennoscandia. We showed that the deer ked is able to survive and complete its development even in arctic environments, 500 km northwards beyond the current range. Performance deteriorated steadily towards north, where lower summer temperatures prolonged the developmental period and shortened the suitable host search time by several weeks. The relevance of the experiments for estimating the spread of deer ked to the north is discussed.", "ISSN": "0906-7590", "page": "906-912", "note": "        \n\n        \n\n        From Duplicate 2 ( \n        \n\n        \n\n        \n\n        \n\n        \n\n        \n\n        \n\n        \n\n        \n\n        \n\n        \n\n        \n\n        \n\n        \n\n        \n\n        \n\n        \n\n        \n\n        \n\n        \n\n        \n\n        \n\n        \n\n        \n\n        \n\n        \n\n        \n\n        \n\n        \n\n        \n\n        \n\n        \n\n        \n\n        \n\n        \n\n        \n\n        \n\n        \n\n        \n\n        \n\n        \n\n        \n\n        \n\n        \n\n        \n\n        \n\n        \n\n        \n\n        \n\n        \n\n        \n\n        \n\n        \n\n        \n\n        \n\n        \n          \n\n          \n\n          \n\n          \n\n          \n\n          \n\n          \n\n          \n\n          \n\n          \n\n          \n\n          \n\n          \n\n          \n\n          \n\n          \n\n          \n\n          \n\n          \n\n          \n\n          \n\n          \n\n          \n\n          \n\n          \n\n          \n\n          \n\n          \n\n          \n\n          \n\n          \n\n        \n        \n\n        \n\n        \n\n        \n\n        \n\n        \n\n        \n\n        \n          \n\n          \n\n          \n\n          \n\n          \n\n          \n\n          \n\n        \n        \n\n        \n\n        \n\n        \n          \n\n          \n\n          \n\n        \n        \n          Predicting range expansion of an ectoparasite - the effect of spring and summer temperatures on deer ked Lipoptena cervi (Diptera: Hippoboscidae) performance along a latitudinal gradient\n        \n        \n          \n\n          \n\n          \n\n        \n        \n\n        \n\n        \n\n        \n          \n\n          \n\n          \n\n          \n\n          \n\n          \n\n          \n\n        \n        \n\n        \n\n        \n\n        \n\n        \n\n        \n\n        \n\n        \n          \n\n          \n\n          \n\n          \n\n          \n\n          \n\n          \n\n          \n\n          \n\n          \n\n          \n\n          \n\n          \n\n          \n\n          \n\n          \n\n          \n\n          \n\n          \n\n          \n\n          \n\n          \n\n          \n\n          \n\n          \n\n          \n\n          \n\n          \n\n          \n\n          \n\n          \n\n        \n        \n\n        \n\n        \n\n        \n\n        \n\n        \n\n        \n\n        \n\n        \n\n        \n\n        \n\n        \n\n        \n\n        \n\n        \n\n        \n\n        \n\n        \n\n        \n\n        \n\n        \n\n        \n\n        \n\n        \n\n        \n\n        \n\n        \n\n        \n\n        \n\n        \n\n        \n\n        \n\n        \n\n        \n\n        \n\n        \n\n        \n\n        \n\n        \n\n        \n\n        \n\n        \n\n        \n\n        \n\n        \n\n        \n\n        \n\n        \n\n        \n\n        \n\n        \n\n        \n\n        \n\n        \n\n        \n\n        - H\u00e4rk\u00f6nen, Laura; H\u00e4rk\u00f6nen, Sauli; Kaitala, Arja; Kaunisto, Sirpa; Kortet, Raine; Laaksonen, Sauli; Yl\u00f6nen, Hannu )\n\n          \n\n          \n\n          \n\n          \n\n          \n\n          \n\n          \n\n          \n\n          \n\n          \n\n          \n\n          \n\n          \n\n          \n\n          \n\n          \n\n          \n\n          \n\n          \n\n          \n\n          \n\n          \n\n          \n\n          \n\n          \n\n          \n\n          \n\n          \n\n          \n\n          \n\n          \n\n        \n        \n\n        \n\n        \n\n      ", "container-title": "Ecography", "title": "Predicting range expansion of an ectoparasite - the effect of spring and summer temperatures on deer ked Lipoptena cervi (Diptera: Hippoboscidae) performance along a latitudinal gradient", "issue": "5",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Härkönen et al. 2010</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Lomatium</w:t>
            </w:r>
            <w:proofErr w:type="spellEnd"/>
            <w:r w:rsidRPr="00F85D3C">
              <w:rPr>
                <w:i/>
                <w:sz w:val="22"/>
                <w:szCs w:val="22"/>
              </w:rPr>
              <w:t xml:space="preserve"> </w:t>
            </w:r>
            <w:proofErr w:type="spellStart"/>
            <w:r w:rsidRPr="00F85D3C">
              <w:rPr>
                <w:i/>
                <w:sz w:val="22"/>
                <w:szCs w:val="22"/>
              </w:rPr>
              <w:t>dissectum</w:t>
            </w:r>
            <w:proofErr w:type="spellEnd"/>
            <w:r w:rsidRPr="00F85D3C">
              <w:rPr>
                <w:i/>
                <w:sz w:val="22"/>
                <w:szCs w:val="22"/>
              </w:rPr>
              <w:t xml:space="preserve"> var. </w:t>
            </w:r>
            <w:proofErr w:type="spellStart"/>
            <w:r w:rsidRPr="00F85D3C">
              <w:rPr>
                <w:i/>
                <w:sz w:val="22"/>
                <w:szCs w:val="22"/>
              </w:rPr>
              <w:t>dissectum</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"(Marsico &amp; Hellmann 2009)", "manualFormatting": "Marsico &amp; Hellmann 2009"}, "citationItems": [{"uris": ["http://www.mendeley.com/documents/?uuid=3a83a614-b4e2-4a0b-bccd-753827ffbe2e"], "id": "ITEM-1", "itemData": {"DOI": "10.1111/j.1600-0706.2009.17698.x", "type": "article-journal", "author": [{"given": "Travis D", "dropping-particle": "", "suffix": "", "family": "Marsico", "parse-names": false, "non-dropping-particle": ""}, {"given": "Jessica J", "dropping-particle": "", "suffix": "", "family": "Hellmann", "parse-names": false, "non-dropping-particle": ""}], "issued": {"date-parts": [["2009", "12"]]}, "abstract": "Determining limitations on poleward range expansion is important for predicting how climate change will alter the distribution of species. For most species, it is not known what factors set their distributional limits and the role dispersal limitation might play if range-limiting factors were altered. We conducted a transplant study of three related and co-occurring Lomatium species at their northern range limits to test competing hypotheses of range limitation. We added seeds to experimental plots inside and outside the species' geographic range (a regional treatment) in a replicated design with vegetation intact and vegetation reduced (a disturbance treatment) and with herbivore access and herbivore exclusion (an herbivory treatment). Germination and reemergence were measured through two growing seasons, along with community-level variables. A fully-crossed linear mixed model revealed that Lomatium survivorship outside the current range was as good or better than survivorship within the range, at least when the vegetative community remained intact. This suggests that the species are dispersal limited. Germination often was improved in the presence of an intact vegetative community, but this potentially facilitative effect was absent in second-year reemergence. Plots exposed to herbivory had slightly, but significantly, reduced germination, though reemergence did not differ between herbivore treatments. Lomatium dissectum, a rare species, had significantly lower survivorship than its congeners, suggesting that range shifts in rare taxa may be particularly difficult. Seed additions beyond species' range limits may be a strategy for overcoming dispersal limitation and assisting species in poleward migrations.", "ISSN": "0030-1299", "page": "1783-1792", "volume": "118", "container-title": "Oikos", "title": "Dispersal limitation inferred from an experimental translocation of Lomatium (Apiaceae) species outside their geographic ranges", "issue": "12",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Marsico &amp; Hellmann 2009</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Lomatium</w:t>
            </w:r>
            <w:proofErr w:type="spellEnd"/>
            <w:r w:rsidRPr="00F85D3C">
              <w:rPr>
                <w:i/>
                <w:sz w:val="22"/>
                <w:szCs w:val="22"/>
              </w:rPr>
              <w:t xml:space="preserve"> </w:t>
            </w:r>
            <w:proofErr w:type="spellStart"/>
            <w:r w:rsidRPr="00F85D3C">
              <w:rPr>
                <w:i/>
                <w:sz w:val="22"/>
                <w:szCs w:val="22"/>
              </w:rPr>
              <w:t>nudicaule</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"(Marsico &amp; Hellmann 2009)", "manualFormatting": "Marsico &amp; Hellmann 2009"}, "citationItems": [{"uris": ["http://www.mendeley.com/documents/?uuid=3a83a614-b4e2-4a0b-bccd-753827ffbe2e"], "id": "ITEM-1", "itemData": {"DOI": "10.1111/j.1600-0706.2009.17698.x", "type": "article-journal", "author": [{"given": "Travis D", "dropping-particle": "", "suffix": "", "family": "Marsico", "parse-names": false, "non-dropping-particle": ""}, {"given": "Jessica J", "dropping-particle": "", "suffix": "", "family": "Hellmann", "parse-names": false, "non-dropping-particle": ""}], "issued": {"date-parts": [["2009", "12"]]}, "abstract": "Determining limitations on poleward range expansion is important for predicting how climate change will alter the distribution of species. For most species, it is not known what factors set their distributional limits and the role dispersal limitation might play if range-limiting factors were altered. We conducted a transplant study of three related and co-occurring Lomatium species at their northern range limits to test competing hypotheses of range limitation. We added seeds to experimental plots inside and outside the species' geographic range (a regional treatment) in a replicated design with vegetation intact and vegetation reduced (a disturbance treatment) and with herbivore access and herbivore exclusion (an herbivory treatment). Germination and reemergence were measured through two growing seasons, along with community-level variables. A fully-crossed linear mixed model revealed that Lomatium survivorship outside the current range was as good or better than survivorship within the range, at least when the vegetative community remained intact. This suggests that the species are dispersal limited. Germination often was improved in the presence of an intact vegetative community, but this potentially facilitative effect was absent in second-year reemergence. Plots exposed to herbivory had slightly, but significantly, reduced germination, though reemergence did not differ between herbivore treatments. Lomatium dissectum, a rare species, had significantly lower survivorship than its congeners, suggesting that range shifts in rare taxa may be particularly difficult. Seed additions beyond species' range limits may be a strategy for overcoming dispersal limitation and assisting species in poleward migrations.", "ISSN": "0030-1299", "page": "1783-1792", "volume": "118", "container-title": "Oikos", "title": "Dispersal limitation inferred from an experimental translocation of Lomatium (Apiaceae) species outside their geographic ranges", "issue": "12",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Marsico &amp; Hellmann 2009</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Lomatium</w:t>
            </w:r>
            <w:proofErr w:type="spellEnd"/>
            <w:r w:rsidRPr="00F85D3C">
              <w:rPr>
                <w:i/>
                <w:sz w:val="22"/>
                <w:szCs w:val="22"/>
              </w:rPr>
              <w:t xml:space="preserve"> </w:t>
            </w:r>
            <w:proofErr w:type="spellStart"/>
            <w:r w:rsidRPr="00F85D3C">
              <w:rPr>
                <w:i/>
                <w:sz w:val="22"/>
                <w:szCs w:val="22"/>
              </w:rPr>
              <w:t>utricularium</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"(Marsico &amp; Hellmann 2009)", "manualFormatting": "Marsico &amp; Hellmann 2009"}, "citationItems": [{"uris": ["http://www.mendeley.com/documents/?uuid=3a83a614-b4e2-4a0b-bccd-753827ffbe2e"], "id": "ITEM-1", "itemData": {"DOI": "10.1111/j.1600-0706.2009.17698.x", "type": "article-journal", "author": [{"given": "Travis D", "dropping-particle": "", "suffix": "", "family": "Marsico", "parse-names": false, "non-dropping-particle": ""}, {"given": "Jessica J", "dropping-particle": "", "suffix": "", "family": "Hellmann", "parse-names": false, "non-dropping-particle": ""}], "issued": {"date-parts": [["2009", "12"]]}, "abstract": "Determining limitations on poleward range expansion is important for predicting how climate change will alter the distribution of species. For most species, it is not known what factors set their distributional limits and the role dispersal limitation might play if range-limiting factors were altered. We conducted a transplant study of three related and co-occurring Lomatium species at their northern range limits to test competing hypotheses of range limitation. We added seeds to experimental plots inside and outside the species' geographic range (a regional treatment) in a replicated design with vegetation intact and vegetation reduced (a disturbance treatment) and with herbivore access and herbivore exclusion (an herbivory treatment). Germination and reemergence were measured through two growing seasons, along with community-level variables. A fully-crossed linear mixed model revealed that Lomatium survivorship outside the current range was as good or better than survivorship within the range, at least when the vegetative community remained intact. This suggests that the species are dispersal limited. Germination often was improved in the presence of an intact vegetative community, but this potentially facilitative effect was absent in second-year reemergence. Plots exposed to herbivory had slightly, but significantly, reduced germination, though reemergence did not differ between herbivore treatments. Lomatium dissectum, a rare species, had significantly lower survivorship than its congeners, suggesting that range shifts in rare taxa may be particularly difficult. Seed additions beyond species' range limits may be a strategy for overcoming dispersal limitation and assisting species in poleward migrations.", "ISSN": "0030-1299", "page": "1783-1792", "volume": "118", "container-title": "Oikos", "title": "Dispersal limitation inferred from an experimental translocation of Lomatium (Apiaceae) species outside their geographic ranges", "issue": "12",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Marsico &amp; Hellmann 2009</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Mimulus cardinalis</w:t>
            </w:r>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"(Angert &amp; Schemske 2005)", "manualFormatting": "Angert &amp; Schemske 2005"}, "citationItems": [{"uris": ["http://www.mendeley.com/documents/?uuid=848aa109-a92c-4ad5-a1c3-052cbd9adecc"], "id": "ITEM-1", "itemData": {"type": "article-journal", "author": [{"given": "Amy L", "dropping-particle": "", "suffix": "", "family": "Angert", "parse-names": false, "non-dropping-particle": ""}, {"given": "Douglas W", "dropping-particle": "", "suffix": "", "family": "Schemske", "parse-names": false, "non-dropping-particle": ""}], "issued": {"date-parts": [["2005", "8"]]}, "abstract": "Every species occupies a limited geographic area, but it remains unclear why traits that limit distribution do not evolve to allow range expansion. Hypotheses for the evolutionary stability of geographic ranges assume that species are maladapted at the range boundary and unfit beyond the current range, but this assumption has rarely been tested. To examine how fitness varies across species' ranges, we reciprocally transplanted two species of monkeyflowers, Mimulus cardinalis and M. lewisii, within and beyond their present elevation ranges. We used individuals of known parentage from populations collected across the elevation ranges of both species to examine whether populations are adapted to position within the range. For both species we found the greatest average fitness at elevations central within the range, reduced fitness at the range margin, and zero or near-zero fitness when transplanted beyond their present elevation range limits. However, the underlying causes of fitness variation differed between the species. At high elevations beyond its range, M. cardinalis displayed reduced growth and fecundity, whereas at low elevations M. lewisii experienced high mortality. Weak differences in performance were observed among populations within each species and these were not related to elevation of origin. Low fitness of both species at their range margin and weak differentiation among populations within each species suggest that adaptation to the environment at and beyond the range margin is hindered, illustrating that range margins provide an interesting system in which to study limits to adaptation.", "ISSN": "0014-3820", "page": "1671-84", "volume": "59", "container-title": "Evolution", "title": "The evolution of species' distributions: reciprocal transplants across the elevation ranges of Mimulus cardinalis and M. lewisii.", "PMID": "16329239", "issue": "8",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Angert &amp; Schemske 2005</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V</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Mimulus</w:t>
            </w:r>
          </w:p>
          <w:p w:rsidR="00F574AE" w:rsidRPr="00F85D3C" w:rsidRDefault="00F574AE" w:rsidP="00E64A04">
            <w:pPr>
              <w:rPr>
                <w:i/>
                <w:sz w:val="22"/>
                <w:szCs w:val="22"/>
              </w:rPr>
            </w:pPr>
            <w:proofErr w:type="spellStart"/>
            <w:r w:rsidRPr="00F85D3C">
              <w:rPr>
                <w:i/>
                <w:sz w:val="22"/>
                <w:szCs w:val="22"/>
              </w:rPr>
              <w:t>lewisii</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"(Angert &amp; Schemske 2005)", "manualFormatting": "Angert &amp; Schemske 2005"}, "citationItems": [{"uris": ["http://www.mendeley.com/documents/?uuid=848aa109-a92c-4ad5-a1c3-052cbd9adecc"], "id": "ITEM-1", "itemData": {"type": "article-journal", "author": [{"given": "Amy L", "dropping-particle": "", "suffix": "", "family": "Angert", "parse-names": false, "non-dropping-particle": ""}, {"given": "Douglas W", "dropping-particle": "", "suffix": "", "family": "Schemske", "parse-names": false, "non-dropping-particle": ""}], "issued": {"date-parts": [["2005", "8"]]}, "abstract": "Every species occupies a limited geographic area, but it remains unclear why traits that limit distribution do not evolve to allow range expansion. Hypotheses for the evolutionary stability of geographic ranges assume that species are maladapted at the range boundary and unfit beyond the current range, but this assumption has rarely been tested. To examine how fitness varies across species' ranges, we reciprocally transplanted two species of monkeyflowers, Mimulus cardinalis and M. lewisii, within and beyond their present elevation ranges. We used individuals of known parentage from populations collected across the elevation ranges of both species to examine whether populations are adapted to position within the range. For both species we found the greatest average fitness at elevations central within the range, reduced fitness at the range margin, and zero or near-zero fitness when transplanted beyond their present elevation range limits. However, the underlying causes of fitness variation differed between the species. At high elevations beyond its range, M. cardinalis displayed reduced growth and fecundity, whereas at low elevations M. lewisii experienced high mortality. Weak differences in performance were observed among populations within each species and these were not related to elevation of origin. Low fitness of both species at their range margin and weak differentiation among populations within each species suggest that adaptation to the environment at and beyond the range margin is hindered, illustrating that range margins provide an interesting system in which to study limits to adaptation.", "ISSN": "0014-3820", "page": "1671-84", "volume": "59", "container-title": "Evolution", "title": "The evolution of species' distributions: reciprocal transplants across the elevation ranges of Mimulus cardinalis and M. lewisii.", "PMID": "16329239", "issue": "8",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Angert &amp; Schemske 2005</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V</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 xml:space="preserve">Mnium </w:t>
            </w:r>
            <w:proofErr w:type="spellStart"/>
            <w:r w:rsidRPr="00F85D3C">
              <w:rPr>
                <w:i/>
                <w:sz w:val="22"/>
                <w:szCs w:val="22"/>
              </w:rPr>
              <w:t>arizonicum</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"(Cleavitt 2004)", "manualFormatting": "Cleavitt 2004"}, "citationItems": [{"uris": ["http://www.mendeley.com/documents/?uuid=3a9bb4a0-e001-4354-b4a3-0453594e8709"], "id": "ITEM-1", "itemData": {"DOI": "10.1023/B:VEGE.0000049099.11785.ba", "type": "article-journal", "author": [{"given": "Natalie", "dropping-particle": "", "suffix": "", "family": "Cleavitt", "parse-names": false, "non-dropping-particle": ""}], "issued": {"date-parts": [["2004"]]}, "ISSN": "1385-0237", "page": "205-216", "volume": "174", "container-title": "Plant Ecology", "title": "Comparative ecology of a lowland and a subalpine species of Mnium in the northern Rocky Mountains", "issue": "2",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Cleavitt 2004</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V</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 xml:space="preserve">Mnium </w:t>
            </w:r>
            <w:proofErr w:type="spellStart"/>
            <w:r w:rsidRPr="00F85D3C">
              <w:rPr>
                <w:i/>
                <w:sz w:val="22"/>
                <w:szCs w:val="22"/>
              </w:rPr>
              <w:t>spinulosum</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"(Cleavitt 2004)", "manualFormatting": "Cleavitt 2004"}, "citationItems": [{"uris": ["http://www.mendeley.com/documents/?uuid=3a9bb4a0-e001-4354-b4a3-0453594e8709"], "id": "ITEM-1", "itemData": {"DOI": "10.1023/B:VEGE.0000049099.11785.ba", "type": "article-journal", "author": [{"given": "Natalie", "dropping-particle": "", "suffix": "", "family": "Cleavitt", "parse-names": false, "non-dropping-particle": ""}], "issued": {"date-parts": [["2004"]]}, "ISSN": "1385-0237", "page": "205-216", "volume": "174", "container-title": "Plant Ecology", "title": "Comparative ecology of a lowland and a subalpine species of Mnium in the northern Rocky Mountains", "issue": "2",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Cleavitt 2004</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V</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Pegaeophyton</w:t>
            </w:r>
            <w:proofErr w:type="spellEnd"/>
            <w:r w:rsidRPr="00F85D3C">
              <w:rPr>
                <w:i/>
                <w:sz w:val="22"/>
                <w:szCs w:val="22"/>
              </w:rPr>
              <w:t xml:space="preserve"> </w:t>
            </w:r>
            <w:proofErr w:type="spellStart"/>
            <w:r w:rsidRPr="00F85D3C">
              <w:rPr>
                <w:i/>
                <w:sz w:val="22"/>
                <w:szCs w:val="22"/>
              </w:rPr>
              <w:t>scapiflorum</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Klimeš &amp; Dolezal 2010</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V</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 xml:space="preserve">Phlox </w:t>
            </w:r>
            <w:proofErr w:type="spellStart"/>
            <w:r w:rsidRPr="00F85D3C">
              <w:rPr>
                <w:i/>
                <w:sz w:val="22"/>
                <w:szCs w:val="22"/>
              </w:rPr>
              <w:t>drummondii</w:t>
            </w:r>
            <w:proofErr w:type="spellEnd"/>
            <w:r w:rsidRPr="00F85D3C">
              <w:rPr>
                <w:rFonts w:cs="Arial"/>
                <w:sz w:val="22"/>
                <w:szCs w:val="22"/>
                <w:vertAlign w:val="superscript"/>
              </w:rPr>
              <w:t>‡‡</w:t>
            </w:r>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"(Levin &amp; Clay 1984)", "manualFormatting": "Levin &amp; Clay 1984"}, "citationItems": [{"uris": ["http://www.mendeley.com/documents/?uuid=06f26ec1-834b-4683-8edf-0ee270e47219"], "id": "ITEM-1", "itemData": {"type": "article-journal", "author": [{"given": "Donald A", "dropping-particle": "", "suffix": "", "family": "Levin", "parse-names": false, "non-dropping-particle": ""}, {"given": "Keith", "dropping-particle": "", "suffix": "", "family": "Clay", "parse-names": false, "non-dropping-particle": ""}], "issued": {"date-parts": [["1984"]]}, "title": "Dynamics of synthetic Phlox drummondii populations at the species margin", "page": "1040-1050", "volume": "71", "container-title": "American Journal of Botany", "issue": "8",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Levin &amp; Clay 1984</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Picea</w:t>
            </w:r>
            <w:proofErr w:type="spellEnd"/>
            <w:r w:rsidRPr="00F85D3C">
              <w:rPr>
                <w:i/>
                <w:sz w:val="22"/>
                <w:szCs w:val="22"/>
              </w:rPr>
              <w:t xml:space="preserve"> </w:t>
            </w:r>
          </w:p>
          <w:p w:rsidR="00F574AE" w:rsidRPr="00F85D3C" w:rsidRDefault="00F574AE" w:rsidP="00E64A04">
            <w:pPr>
              <w:rPr>
                <w:i/>
                <w:sz w:val="22"/>
                <w:szCs w:val="22"/>
              </w:rPr>
            </w:pPr>
            <w:r w:rsidRPr="00F85D3C">
              <w:rPr>
                <w:i/>
                <w:sz w:val="22"/>
                <w:szCs w:val="22"/>
              </w:rPr>
              <w:lastRenderedPageBreak/>
              <w:t>glauca</w:t>
            </w:r>
          </w:p>
        </w:tc>
        <w:tc>
          <w:tcPr>
            <w:tcW w:w="1466" w:type="dxa"/>
          </w:tcPr>
          <w:p w:rsidR="00F574AE" w:rsidRPr="00F85D3C" w:rsidRDefault="00F714DC" w:rsidP="00E64A04">
            <w:pPr>
              <w:rPr>
                <w:sz w:val="22"/>
                <w:szCs w:val="22"/>
              </w:rPr>
            </w:pPr>
            <w:r w:rsidRPr="00F85D3C">
              <w:rPr>
                <w:sz w:val="22"/>
                <w:szCs w:val="22"/>
              </w:rPr>
              <w:lastRenderedPageBreak/>
              <w:fldChar w:fldCharType="begin"/>
            </w:r>
            <w:r w:rsidR="00F574AE" w:rsidRPr="00F85D3C">
              <w:rPr>
                <w:sz w:val="22"/>
                <w:szCs w:val="22"/>
              </w:rPr>
              <w:instrText>ADDIN CSL_CITATION {"mendeley": {"previouslyFormattedCitation": "(Hobbie &amp; Chapin III 1998)", "manualFormatting": "Hobbie &amp; Chapin  1998"}, "citationItems": [{"uris": ["http://www.mendeley.com/documents/?uuid=21c46071-cf71-4981-9163-98eb1a4c6706"], "id": "ITEM-1", "itemData": {"DOI": "10.1046/j.1365-2745.1998.00278.x", "type": "article-journal", "author": [{"given": "Sarah E", "dropping-particle": "", "suffix": "", "family": "Hobbie", "parse-names": false, "non-dropping-particle": ""}, {"given": "F Stuart", "dropping-particle": "", "suffix": "", "family": "Chapin III", "parse-names": false, "non-dropping-particle": ""}], "issued": {"date-parts": [["1998", "6"]]}, "abstract": "1 Five treeline species had low seed germination rates and low survivorship and growth of seedlings when transplanted into Alaskan tundra. Seed germination of all species increased with experimental warming, suggesting that the present treeline may in part result from unsuccessful recruitment under cold conditions. 2 Growth, biomass and survivorship of seedlings of treeline species transplanted into tundra were largely unaffected by experimental warming. However, transplanted seedlings of three species (Betula papyrifera, Picea glauca and Populus tremuloides) grew more when below-ground competition with the extant community was reduced. All three measures of transplant performance were greater in shrub tundra than in the less productive tussock or heath tundra. Establishment of trees in tundra may thus be prevented by low resource availability and competition. 3 Two species (Alnus crispa and Populus balsamifera) had low seed germination and survivorship of germinated seeds; transplants of these species did not respond to the manipulations and lost biomass following transplanting into tundra. Isolated populations of these two species north of the present treeline in arctic Alaska probably became established during mid-Holocene warming rather than in recent times. 4 Of all the species studied here, Picea glauca was the most likely to invade intact upland tundra. Its seeds had the highest germination rates and it was the only species whose seedlings survived subsequently. Furthermore, transplanted seedlings of Picea glauca had relatively high survivorship and positive growth in tundra, especially in treatments that increased air temperature or nutrient availability, two factors likely to increase with climate warming.", "ISSN": "0022-0477", "page": "449-461", "volume": "86", "container-title": "Journal of Ecology", "title": "An experimental test of limits to tree establishment in Arctic tundra", "issue": "3",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 xml:space="preserve">Hobbie &amp; </w:t>
            </w:r>
            <w:r w:rsidR="00F574AE" w:rsidRPr="00F85D3C">
              <w:rPr>
                <w:noProof/>
                <w:sz w:val="22"/>
                <w:szCs w:val="22"/>
              </w:rPr>
              <w:lastRenderedPageBreak/>
              <w:t>Chapin  1998</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lastRenderedPageBreak/>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 xml:space="preserve">Pinus </w:t>
            </w:r>
          </w:p>
          <w:p w:rsidR="00F574AE" w:rsidRPr="00F85D3C" w:rsidRDefault="00F574AE" w:rsidP="00E64A04">
            <w:pPr>
              <w:rPr>
                <w:i/>
                <w:sz w:val="22"/>
                <w:szCs w:val="22"/>
              </w:rPr>
            </w:pPr>
            <w:proofErr w:type="spellStart"/>
            <w:r w:rsidRPr="00F85D3C">
              <w:rPr>
                <w:i/>
                <w:sz w:val="22"/>
                <w:szCs w:val="22"/>
              </w:rPr>
              <w:t>albicaulis</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"(McLane &amp; Aitken 2012)", "manualFormatting": "McLane &amp; Aitken 2012"}, "citationItems": [{"uris": ["http://www.mendeley.com/documents/?uuid=3dc13705-93a2-4da5-9f9b-92b971dbb5b0"], "id": "ITEM-1", "itemData": {"type": "article-journal", "author": [{"given": "Sierra C", "dropping-particle": "", "suffix": "", "family": "McLane", "parse-names": false, "non-dropping-particle": ""}, {"given": "Sally N", "dropping-particle": "", "suffix": "", "family": "Aitken", "parse-names": false, "non-dropping-particle": ""}], "issued": {"date-parts": [["2012", "1"]]}, "abstract": "The ``translocation of species into habitable locations outside of their current ranges, termed assisted migration, has been proposed as a means of saving vulnerable species from extinction as a result of climate change. We explore the use of this controversial technique using a threatened keystone species in western North America, whitebark pine (Pinus albicaulis), as a case study. Species distribution models predict that whitebark pine will be extirpated from most of its current range as temperatures rise over the next 70 years. However, the same models indicate that a large area within northwestern British Columbia, Canada, is climatically suitable for the species under current conditions and will remain so throughout the 21st century. To test the capacity of whitebark pine to establish relative to Climatic and habitat features within its predicted climatic range, we planted seeds from seven populations in eight locations spanning from 600 km southeast to 800 km northwest of the northern boundary of the current species range. During the first three growing seasons, germination occurred in all locations. Nearly three times as many treated (induced maturation and broken dormancy) than untreated seeds germinated, and most treated seeds germinated a year earlier than the untreated seeds. Germination, survival, and growth were primarily influenced by seed mass, site climate conditions related to the duration of snow cover, and provenance temperature. Our experiment provides a preliminary test of models predicting the existence of climatically suitable whitebark pine habitat north of the current species ranges. More broadly, our techniques and results inform the development of scientific guidelines for assisting the migration of other species that are highly threatened by climate change. Applied case studies of this kind are critical for assessing the utility of species distribution models as conservation planning tools.", "ISSN": "1051-0761", "page": "142-153", "volume": "22", "container-title": "Ecological Applications", "title": "Whitebark pine (Pinus albicaulis) assisted migration potential: testing establishment north of the species range", "issue": "1",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McLane &amp; Aitken 2012</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Poa</w:t>
            </w:r>
            <w:proofErr w:type="spellEnd"/>
            <w:r w:rsidRPr="00F85D3C">
              <w:rPr>
                <w:i/>
                <w:sz w:val="22"/>
                <w:szCs w:val="22"/>
              </w:rPr>
              <w:t xml:space="preserve"> </w:t>
            </w:r>
          </w:p>
          <w:p w:rsidR="00F574AE" w:rsidRPr="00F85D3C" w:rsidRDefault="00F574AE" w:rsidP="00E64A04">
            <w:pPr>
              <w:rPr>
                <w:i/>
                <w:sz w:val="22"/>
                <w:szCs w:val="22"/>
              </w:rPr>
            </w:pPr>
            <w:proofErr w:type="spellStart"/>
            <w:r w:rsidRPr="00F85D3C">
              <w:rPr>
                <w:i/>
                <w:sz w:val="22"/>
                <w:szCs w:val="22"/>
              </w:rPr>
              <w:t>attenuata</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Klimeš &amp; Dolezal 2010</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V</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Populus</w:t>
            </w:r>
            <w:proofErr w:type="spellEnd"/>
            <w:r w:rsidRPr="00F85D3C">
              <w:rPr>
                <w:i/>
                <w:sz w:val="22"/>
                <w:szCs w:val="22"/>
              </w:rPr>
              <w:t xml:space="preserve"> </w:t>
            </w:r>
            <w:proofErr w:type="spellStart"/>
            <w:r w:rsidRPr="00F85D3C">
              <w:rPr>
                <w:i/>
                <w:sz w:val="22"/>
                <w:szCs w:val="22"/>
              </w:rPr>
              <w:t>tremuloides</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"(Hobbie &amp; Chapin III 1998)", "manualFormatting": "Hobbie &amp; Chapin  1998"}, "citationItems": [{"uris": ["http://www.mendeley.com/documents/?uuid=21c46071-cf71-4981-9163-98eb1a4c6706"], "id": "ITEM-1", "itemData": {"DOI": "10.1046/j.1365-2745.1998.00278.x", "type": "article-journal", "author": [{"given": "Sarah E", "dropping-particle": "", "suffix": "", "family": "Hobbie", "parse-names": false, "non-dropping-particle": ""}, {"given": "F Stuart", "dropping-particle": "", "suffix": "", "family": "Chapin III", "parse-names": false, "non-dropping-particle": ""}], "issued": {"date-parts": [["1998", "6"]]}, "abstract": "1 Five treeline species had low seed germination rates and low survivorship and growth of seedlings when transplanted into Alaskan tundra. Seed germination of all species increased with experimental warming, suggesting that the present treeline may in part result from unsuccessful recruitment under cold conditions. 2 Growth, biomass and survivorship of seedlings of treeline species transplanted into tundra were largely unaffected by experimental warming. However, transplanted seedlings of three species (Betula papyrifera, Picea glauca and Populus tremuloides) grew more when below-ground competition with the extant community was reduced. All three measures of transplant performance were greater in shrub tundra than in the less productive tussock or heath tundra. Establishment of trees in tundra may thus be prevented by low resource availability and competition. 3 Two species (Alnus crispa and Populus balsamifera) had low seed germination and survivorship of germinated seeds; transplants of these species did not respond to the manipulations and lost biomass following transplanting into tundra. Isolated populations of these two species north of the present treeline in arctic Alaska probably became established during mid-Holocene warming rather than in recent times. 4 Of all the species studied here, Picea glauca was the most likely to invade intact upland tundra. Its seeds had the highest germination rates and it was the only species whose seedlings survived subsequently. Furthermore, transplanted seedlings of Picea glauca had relatively high survivorship and positive growth in tundra, especially in treatments that increased air temperature or nutrient availability, two factors likely to increase with climate warming.", "ISSN": "0022-0477", "page": "449-461", "volume": "86", "container-title": "Journal of Ecology", "title": "An experimental test of limits to tree establishment in Arctic tundra", "issue": "3",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Hobbie &amp; Chapin  1998</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 xml:space="preserve">Protea </w:t>
            </w:r>
          </w:p>
          <w:p w:rsidR="00F574AE" w:rsidRPr="00F85D3C" w:rsidRDefault="00F574AE" w:rsidP="00E64A04">
            <w:pPr>
              <w:rPr>
                <w:i/>
                <w:sz w:val="22"/>
                <w:szCs w:val="22"/>
              </w:rPr>
            </w:pPr>
            <w:proofErr w:type="spellStart"/>
            <w:r w:rsidRPr="00F85D3C">
              <w:rPr>
                <w:i/>
                <w:sz w:val="22"/>
                <w:szCs w:val="22"/>
              </w:rPr>
              <w:t>aurea</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"(Latimer &lt;i&gt;et al.&lt;/i&gt; 2009)", "manualFormatting": "Latimer et al. 2009"}, "citationItems": [{"uris": ["http://www.mendeley.com/documents/?uuid=01f47df0-ace7-45ff-bae1-7cbb673963b8"], "id": "ITEM-1", "itemData": {"DOI": "10.1007/s00442-009-1275-3", "type": "article-journal", "author": [{"given": "Andrew M", "dropping-particle": "", "suffix": "", "family": "Latimer", "parse-names": false, "non-dropping-particle": ""}, {"given": "J A", "dropping-particle": "", "suffix": "", "family": "Silander Jr", "parse-names": false, "non-dropping-particle": ""}, {"given": "Anthony G", "dropping-particle": "", "suffix": "", "family": "Rebelo", "parse-names": false, "non-dropping-particle": ""}, {"given": "Guy F", "dropping-particle": "", "suffix": "", "family": "Midgley", "parse-names": false, "non-dropping-particle": ""}], "issued": {"date-parts": [["2009", "5"]]}, "abstract": "One of the fundamental dimensions of biodiversity is the rate of species turnover across geographic distance. The Cape Floristic Region of South Africa has exceptionally high geographic species turnover, much of which is associated with groups of closely related species with mostly or completely non-overlapping distributions. A basic unresolved question about biodiversity in this global hotspot is the relative importance of ecological gradients in generating and maintaining high geographic turnover in the region. We used reciprocal transplant experiments to test the extent to which abiotic environmental factors may limit the distributions of a group of closely related species in the genus Protea (Proteaceae), and thus elevate species turnover in this diverse, iconic family. We tested whether these species have a ``home site advantage{''} in demographic rates (germination, growth, mortality), and also parameterized stage-structured demographic models for the species. Two of the three native species were predicted to have a demographic advantage at their home sites. The models also predicted, however, that species could maintain positive population growth rates at sites beyond their current distribution limits. Thus the experiment suggests that abiotic limitation under current environmental conditions does not fully explain the observed distribution limits or resulting biogeographic pattern. One potentially important mechanism is dispersal limitation, which is consistent with estimates based on genetic data and mechanistic dispersal models, though other mechanisms including competition may also play a role.", "ISSN": "0029-8549", "page": "151-162", "volume": "160", "container-title": "Oecologia", "title": "Experimental biogeography: the role of environmental gradients in high geographic diversity in Cape Proteaceae", "PMID": "19194725", "issue": "1",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Latimer et al. 2009</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Both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 xml:space="preserve">Protea </w:t>
            </w:r>
          </w:p>
          <w:p w:rsidR="00F574AE" w:rsidRPr="00F85D3C" w:rsidRDefault="00F574AE" w:rsidP="00E64A04">
            <w:pPr>
              <w:rPr>
                <w:i/>
                <w:sz w:val="22"/>
                <w:szCs w:val="22"/>
              </w:rPr>
            </w:pPr>
            <w:proofErr w:type="spellStart"/>
            <w:r w:rsidRPr="00F85D3C">
              <w:rPr>
                <w:i/>
                <w:sz w:val="22"/>
                <w:szCs w:val="22"/>
              </w:rPr>
              <w:t>mundii</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"(Latimer &lt;i&gt;et al.&lt;/i&gt; 2009)", "manualFormatting": "Latimer et al. 2009"}, "citationItems": [{"uris": ["http://www.mendeley.com/documents/?uuid=01f47df0-ace7-45ff-bae1-7cbb673963b8"], "id": "ITEM-1", "itemData": {"DOI": "10.1007/s00442-009-1275-3", "type": "article-journal", "author": [{"given": "Andrew M", "dropping-particle": "", "suffix": "", "family": "Latimer", "parse-names": false, "non-dropping-particle": ""}, {"given": "J A", "dropping-particle": "", "suffix": "", "family": "Silander Jr", "parse-names": false, "non-dropping-particle": ""}, {"given": "Anthony G", "dropping-particle": "", "suffix": "", "family": "Rebelo", "parse-names": false, "non-dropping-particle": ""}, {"given": "Guy F", "dropping-particle": "", "suffix": "", "family": "Midgley", "parse-names": false, "non-dropping-particle": ""}], "issued": {"date-parts": [["2009", "5"]]}, "abstract": "One of the fundamental dimensions of biodiversity is the rate of species turnover across geographic distance. The Cape Floristic Region of South Africa has exceptionally high geographic species turnover, much of which is associated with groups of closely related species with mostly or completely non-overlapping distributions. A basic unresolved question about biodiversity in this global hotspot is the relative importance of ecological gradients in generating and maintaining high geographic turnover in the region. We used reciprocal transplant experiments to test the extent to which abiotic environmental factors may limit the distributions of a group of closely related species in the genus Protea (Proteaceae), and thus elevate species turnover in this diverse, iconic family. We tested whether these species have a ``home site advantage{''} in demographic rates (germination, growth, mortality), and also parameterized stage-structured demographic models for the species. Two of the three native species were predicted to have a demographic advantage at their home sites. The models also predicted, however, that species could maintain positive population growth rates at sites beyond their current distribution limits. Thus the experiment suggests that abiotic limitation under current environmental conditions does not fully explain the observed distribution limits or resulting biogeographic pattern. One potentially important mechanism is dispersal limitation, which is consistent with estimates based on genetic data and mechanistic dispersal models, though other mechanisms including competition may also play a role.", "ISSN": "0029-8549", "page": "151-162", "volume": "160", "container-title": "Oecologia", "title": "Experimental biogeography: the role of environmental gradients in high geographic diversity in Cape Proteaceae", "PMID": "19194725", "issue": "1",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Latimer et al. 2009</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r w:rsidRPr="00F85D3C">
              <w:rPr>
                <w:i/>
                <w:sz w:val="22"/>
                <w:szCs w:val="22"/>
              </w:rPr>
              <w:t xml:space="preserve">Protea </w:t>
            </w:r>
          </w:p>
          <w:p w:rsidR="00F574AE" w:rsidRPr="00F85D3C" w:rsidRDefault="00F574AE" w:rsidP="00E64A04">
            <w:pPr>
              <w:rPr>
                <w:i/>
                <w:sz w:val="22"/>
                <w:szCs w:val="22"/>
              </w:rPr>
            </w:pPr>
            <w:proofErr w:type="spellStart"/>
            <w:r w:rsidRPr="00F85D3C">
              <w:rPr>
                <w:i/>
                <w:sz w:val="22"/>
                <w:szCs w:val="22"/>
              </w:rPr>
              <w:t>punctata</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"(Latimer &lt;i&gt;et al.&lt;/i&gt; 2009)", "manualFormatting": "Latimer et al. 2009"}, "citationItems": [{"uris": ["http://www.mendeley.com/documents/?uuid=01f47df0-ace7-45ff-bae1-7cbb673963b8"], "id": "ITEM-1", "itemData": {"DOI": "10.1007/s00442-009-1275-3", "type": "article-journal", "author": [{"given": "Andrew M", "dropping-particle": "", "suffix": "", "family": "Latimer", "parse-names": false, "non-dropping-particle": ""}, {"given": "J A", "dropping-particle": "", "suffix": "", "family": "Silander Jr", "parse-names": false, "non-dropping-particle": ""}, {"given": "Anthony G", "dropping-particle": "", "suffix": "", "family": "Rebelo", "parse-names": false, "non-dropping-particle": ""}, {"given": "Guy F", "dropping-particle": "", "suffix": "", "family": "Midgley", "parse-names": false, "non-dropping-particle": ""}], "issued": {"date-parts": [["2009", "5"]]}, "abstract": "One of the fundamental dimensions of biodiversity is the rate of species turnover across geographic distance. The Cape Floristic Region of South Africa has exceptionally high geographic species turnover, much of which is associated with groups of closely related species with mostly or completely non-overlapping distributions. A basic unresolved question about biodiversity in this global hotspot is the relative importance of ecological gradients in generating and maintaining high geographic turnover in the region. We used reciprocal transplant experiments to test the extent to which abiotic environmental factors may limit the distributions of a group of closely related species in the genus Protea (Proteaceae), and thus elevate species turnover in this diverse, iconic family. We tested whether these species have a ``home site advantage{''} in demographic rates (germination, growth, mortality), and also parameterized stage-structured demographic models for the species. Two of the three native species were predicted to have a demographic advantage at their home sites. The models also predicted, however, that species could maintain positive population growth rates at sites beyond their current distribution limits. Thus the experiment suggests that abiotic limitation under current environmental conditions does not fully explain the observed distribution limits or resulting biogeographic pattern. One potentially important mechanism is dispersal limitation, which is consistent with estimates based on genetic data and mechanistic dispersal models, though other mechanisms including competition may also play a role.", "ISSN": "0029-8549", "page": "151-162", "volume": "160", "container-title": "Oecologia", "title": "Experimental biogeography: the role of environmental gradients in high geographic diversity in Cape Proteaceae", "PMID": "19194725", "issue": "1",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Latimer et al. 2009</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Both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Saxifraga</w:t>
            </w:r>
            <w:proofErr w:type="spellEnd"/>
            <w:r w:rsidRPr="00F85D3C">
              <w:rPr>
                <w:i/>
                <w:sz w:val="22"/>
                <w:szCs w:val="22"/>
              </w:rPr>
              <w:t xml:space="preserve"> </w:t>
            </w:r>
          </w:p>
          <w:p w:rsidR="00F574AE" w:rsidRPr="00F85D3C" w:rsidRDefault="00F574AE" w:rsidP="00E64A04">
            <w:pPr>
              <w:rPr>
                <w:i/>
                <w:sz w:val="22"/>
                <w:szCs w:val="22"/>
              </w:rPr>
            </w:pPr>
            <w:proofErr w:type="spellStart"/>
            <w:r w:rsidRPr="00F85D3C">
              <w:rPr>
                <w:i/>
                <w:sz w:val="22"/>
                <w:szCs w:val="22"/>
              </w:rPr>
              <w:t>nanella</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Klimeš &amp; Dolezal 2010</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V</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Stellaria</w:t>
            </w:r>
            <w:proofErr w:type="spellEnd"/>
            <w:r w:rsidRPr="00F85D3C">
              <w:rPr>
                <w:i/>
                <w:sz w:val="22"/>
                <w:szCs w:val="22"/>
              </w:rPr>
              <w:t xml:space="preserve"> </w:t>
            </w:r>
            <w:proofErr w:type="spellStart"/>
            <w:r w:rsidRPr="00F85D3C">
              <w:rPr>
                <w:i/>
                <w:sz w:val="22"/>
                <w:szCs w:val="22"/>
              </w:rPr>
              <w:t>depressa</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Klimeš &amp; Dolezal 2010</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V</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Thaumetopoea</w:t>
            </w:r>
            <w:proofErr w:type="spellEnd"/>
            <w:r w:rsidRPr="00F85D3C">
              <w:rPr>
                <w:i/>
                <w:sz w:val="22"/>
                <w:szCs w:val="22"/>
              </w:rPr>
              <w:t xml:space="preserve"> </w:t>
            </w:r>
            <w:proofErr w:type="spellStart"/>
            <w:r w:rsidRPr="00F85D3C">
              <w:rPr>
                <w:i/>
                <w:sz w:val="22"/>
                <w:szCs w:val="22"/>
              </w:rPr>
              <w:t>pityocampa</w:t>
            </w:r>
            <w:proofErr w:type="spellEnd"/>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"(Battisti &lt;i&gt;et al.&lt;/i&gt; 2005)", "manualFormatting": "Battisti et al. 2005"}, "citationItems": [{"uris": ["http://www.mendeley.com/documents/?uuid=1b86beef-ca63-4a80-9433-39c92d4565b9"], "id": "ITEM-1", "itemData": {"DOI": "10.1890/04-1903", "type": "article-journal", "author": [{"given": "Andrea", "dropping-particle": "", "suffix": "", "family": "Battisti", "parse-names": false, "non-dropping-particle": ""}, {"given": "Michael", "dropping-particle": "", "suffix": "", "family": "Stastny", "parse-names": false, "non-dropping-particle": ""}, {"given": "Sigrid", "dropping-particle": "", "suffix": "", "family": "Netherer", "parse-names": false, "non-dropping-particle": ""}, {"given": "Christelle", "dropping-particle": "", "suffix": "", "family": "Robinet", "parse-names": false, "non-dropping-particle": ""}, {"given": "Axel", "dropping-particle": "", "suffix": "", "family": "Schopf", "parse-names": false, "non-dropping-particle": ""}, {"given": "Alain", "dropping-particle": "", "suffix": "", "family": "Roques", "parse-names": false, "non-dropping-particle": ""}, {"given": "Stig", "dropping-particle": "", "suffix": "", "family": "Larsson", "parse-names": false, "non-dropping-particle": ""}], "issued": {"date-parts": [["2005", "12"]]}, "abstract": "Global warming is predicted to cause distributional changes in organisms whose geographic ranges are controlled by temperature. We report a recent latitudinal and altitudinal expansion of the pine processionary moth, Thaumetopoea pityocampa, whose larvae build silk nests and feed on pine foliage in the winter. In north-central France (Paris Basin), its range boundary. has shifted by 87 km northwards between 1972 and 2004; in northern Italy (Alps), an altitudinal shift of 110-230 in upwards occurred between 1975 and 2004. By experimentally linking Winter temperature, feeding activity, and survival of T. pityocampa larvae, we attribute the expansions to increased winter survival due to a warming trend over the past three decades. In the laboratory we determined the minimum nest and night air temperatures required for larval feeding and developed a mechanistic model based on these temperature thresholds. We tested the model in a translocation experiment that employed natural temperature gradients as spatial analogues for global warming. In all transects we transferred colonies of T. pityocampa larvae to sites within zones of historical distribution, recent distribution, and outside the present range. We monitored air and nest temperature, incoming solar radiation, larval phenology, feeding activity, and survival. Early-season temperature effects on phenology were evident with delayed development of colonies in the more extreme (colder) sites. In the coldest months, our model was consistent With the observed patterns of feeding activity: Feeding was, progressively reduced with increasing latitude,or elevation, as predicted by the lower number of hours when the feeding threshold was reached, which negatively affected final survival. Insolation raised nest temperature and increased feeding activity on the south but not the north aspect. Prolonged temperature drops below the feeding thresholds occurred at all-sites, leading to starvation and partial mortality. Nonetheless, even the most extreme sites still allowed some feeding and, consequently, up to 20% colony survival and successful pupation. Given that the present distribution of the oligophagous T. pityocampa is not constrained by the distribution of its actual or potential hosts, and that warmer winters will cause the number of hours of feeding to increase and the probability of the lower lethal temperature to decrease, we expect the trend of improved survival in previously prohibitive environments to co\u2026", "ISSN": "1051-0761", "page": "2084-2096", "volume": "15", "container-title": "Ecological Applications", "title": "Expansion of geographic range in the pine processionary moth caused by increased winter temperatures", "issue": "6",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Battisti et al. 2005</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Both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Pr>
          <w:p w:rsidR="00F574AE" w:rsidRPr="00F85D3C" w:rsidRDefault="00F574AE" w:rsidP="00E64A04">
            <w:pPr>
              <w:rPr>
                <w:i/>
                <w:sz w:val="22"/>
                <w:szCs w:val="22"/>
              </w:rPr>
            </w:pPr>
            <w:proofErr w:type="spellStart"/>
            <w:r w:rsidRPr="00F85D3C">
              <w:rPr>
                <w:i/>
                <w:sz w:val="22"/>
                <w:szCs w:val="22"/>
              </w:rPr>
              <w:t>Vulpia</w:t>
            </w:r>
            <w:proofErr w:type="spellEnd"/>
            <w:r w:rsidRPr="00F85D3C">
              <w:rPr>
                <w:i/>
                <w:sz w:val="22"/>
                <w:szCs w:val="22"/>
              </w:rPr>
              <w:t xml:space="preserve"> fasciculata</w:t>
            </w:r>
            <w:r w:rsidRPr="00F85D3C">
              <w:rPr>
                <w:rFonts w:cs="Arial"/>
                <w:sz w:val="22"/>
                <w:szCs w:val="22"/>
                <w:vertAlign w:val="superscript"/>
              </w:rPr>
              <w:t>§§</w:t>
            </w:r>
          </w:p>
        </w:tc>
        <w:tc>
          <w:tcPr>
            <w:tcW w:w="1466" w:type="dxa"/>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"(Norton &lt;i&gt;et al.&lt;/i&gt; 2005)", "manualFormatting": "Norton et al. 2005"}, "citationItems": [{"uris": ["http://www.mendeley.com/documents/?uuid=22a9b0c7-1c31-403a-ae3a-cfa70925068a"], "id": "ITEM-1", "itemData": {"DOI": "10.1007/s00442-005-0102-8", "type": "article-journal", "author": [{"given": "Lisa R", "dropping-particle": "", "suffix": "", "family": "Norton", "parse-names": false, "non-dropping-particle": ""}, {"given": "Les G", "dropping-particle": "", "suffix": "", "family": "Firbank", "parse-names": false, "non-dropping-particle": ""}, {"given": "Andrew", "dropping-particle": "", "suffix": "", "family": "Scott", "parse-names": false, "non-dropping-particle": ""}, {"given": "Andrew R", "dropping-particle": "", "suffix": "", "family": "Watkinson", "parse-names": false, "non-dropping-particle": ""}], "issued": {"date-parts": [["2005", "7"]]}, "abstract": "Understanding the factors that influence plant distributions is a considerable challenge for ecologists in the face of environmental change. Here, we quantify spatial and temporal variation in the finite rate of population increase of the annual grass Vulpia fasciculata. Specifically, we test the hypothesis that the northern range boundary is associated with finite rates of population increase of less than one. Seeds of three ecotypes of the annual grass V. fasciculata were introduced annually across a range of sites in Great Britain both within (11) and to the north (4) of its current range boundary in each of 4 years. Populations failed to establish at 17% of target sites due to disturbance. At the remaining target sites, the finite rate of population increase, lambda, varied from 0.06 to 33.3 with a geometric mean of 1.88. Of the total variance in the rate of population growth, site and year effects accounted independently for 40% of the variation and in interaction for 50%; ecotype accounted for less than 5% of the variation. Variation in the weather between sites and years had little impact on plant performance, and there was no indication that the rate of population growth was lower to the north of the current range boundary. We conclude that current climatic conditions on the coast of Great Britain are not limiting the distribution of V. fasciculata and that seeds from across its current range have roughly equivalent colonising potential.", "ISSN": "0029-8549", "page": "407-415", "volume": "144", "container-title": "Oecologia", "title": "Characterising spatial and temporal variation in the finite rate of population increase across the northern range boundary of the annual grass Vulpia fasciculata", "issue": "3",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Norton et al. 2005</w:t>
            </w:r>
            <w:r w:rsidRPr="00F85D3C">
              <w:rPr>
                <w:sz w:val="22"/>
                <w:szCs w:val="22"/>
              </w:rPr>
              <w:fldChar w:fldCharType="end"/>
            </w:r>
          </w:p>
        </w:tc>
        <w:tc>
          <w:tcPr>
            <w:tcW w:w="966" w:type="dxa"/>
          </w:tcPr>
          <w:p w:rsidR="00F574AE" w:rsidRPr="00F85D3C" w:rsidRDefault="00F574AE" w:rsidP="00E64A04">
            <w:pPr>
              <w:rPr>
                <w:sz w:val="22"/>
                <w:szCs w:val="22"/>
              </w:rPr>
            </w:pPr>
            <w:r w:rsidRPr="00F85D3C">
              <w:rPr>
                <w:sz w:val="22"/>
                <w:szCs w:val="22"/>
              </w:rPr>
              <w:t>H</w:t>
            </w:r>
          </w:p>
        </w:tc>
        <w:tc>
          <w:tcPr>
            <w:tcW w:w="944" w:type="dxa"/>
          </w:tcPr>
          <w:p w:rsidR="00F574AE" w:rsidRPr="00F85D3C" w:rsidRDefault="00F574AE" w:rsidP="00E64A04">
            <w:pPr>
              <w:rPr>
                <w:sz w:val="22"/>
                <w:szCs w:val="22"/>
              </w:rPr>
            </w:pPr>
            <w:r w:rsidRPr="00F85D3C">
              <w:rPr>
                <w:sz w:val="22"/>
                <w:szCs w:val="22"/>
              </w:rPr>
              <w:t xml:space="preserve">+ </w:t>
            </w:r>
          </w:p>
        </w:tc>
        <w:tc>
          <w:tcPr>
            <w:tcW w:w="1151" w:type="dxa"/>
          </w:tcPr>
          <w:p w:rsidR="00F574AE" w:rsidRPr="00F85D3C" w:rsidRDefault="00F574AE" w:rsidP="00E64A04">
            <w:pPr>
              <w:rPr>
                <w:sz w:val="22"/>
                <w:szCs w:val="22"/>
              </w:rPr>
            </w:pPr>
            <w:r>
              <w:rPr>
                <w:sz w:val="22"/>
                <w:szCs w:val="22"/>
              </w:rPr>
              <w:t>-</w:t>
            </w:r>
          </w:p>
        </w:tc>
        <w:tc>
          <w:tcPr>
            <w:tcW w:w="1134" w:type="dxa"/>
          </w:tcPr>
          <w:p w:rsidR="00F574AE" w:rsidRPr="002A6B03" w:rsidRDefault="00F574AE" w:rsidP="00E64A04">
            <w:pPr>
              <w:rPr>
                <w:bCs/>
                <w:sz w:val="22"/>
                <w:szCs w:val="22"/>
              </w:rPr>
            </w:pPr>
            <w:r w:rsidRPr="002A6B03">
              <w:rPr>
                <w:bCs/>
                <w:sz w:val="22"/>
                <w:szCs w:val="22"/>
              </w:rPr>
              <w:t>-</w:t>
            </w:r>
          </w:p>
        </w:tc>
        <w:tc>
          <w:tcPr>
            <w:tcW w:w="1276" w:type="dxa"/>
          </w:tcPr>
          <w:p w:rsidR="00F574AE" w:rsidRPr="00454B56" w:rsidRDefault="00F574AE" w:rsidP="00E64A04">
            <w:pPr>
              <w:rPr>
                <w:bCs/>
                <w:sz w:val="22"/>
                <w:szCs w:val="22"/>
              </w:rPr>
            </w:pPr>
            <w:r w:rsidRPr="00454B56">
              <w:rPr>
                <w:bCs/>
                <w:sz w:val="22"/>
                <w:szCs w:val="22"/>
              </w:rPr>
              <w:t>-</w:t>
            </w:r>
          </w:p>
        </w:tc>
        <w:tc>
          <w:tcPr>
            <w:tcW w:w="1132" w:type="dxa"/>
          </w:tcPr>
          <w:p w:rsidR="00F574AE" w:rsidRPr="00930846" w:rsidRDefault="00F574AE" w:rsidP="00E64A04">
            <w:pPr>
              <w:rPr>
                <w:bCs/>
                <w:sz w:val="22"/>
                <w:szCs w:val="22"/>
              </w:rPr>
            </w:pPr>
            <w:r w:rsidRPr="00930846">
              <w:rPr>
                <w:bCs/>
                <w:sz w:val="22"/>
                <w:szCs w:val="22"/>
              </w:rPr>
              <w:t>-</w:t>
            </w:r>
          </w:p>
        </w:tc>
        <w:tc>
          <w:tcPr>
            <w:tcW w:w="1271" w:type="dxa"/>
          </w:tcPr>
          <w:p w:rsidR="00F574AE" w:rsidRPr="00B0712B" w:rsidRDefault="00F574AE" w:rsidP="00E64A04">
            <w:pPr>
              <w:rPr>
                <w:bCs/>
                <w:sz w:val="22"/>
                <w:szCs w:val="22"/>
              </w:rPr>
            </w:pPr>
            <w:r w:rsidRPr="00B0712B">
              <w:rPr>
                <w:bCs/>
                <w:sz w:val="22"/>
                <w:szCs w:val="22"/>
              </w:rPr>
              <w:t>-</w:t>
            </w:r>
          </w:p>
        </w:tc>
        <w:tc>
          <w:tcPr>
            <w:tcW w:w="1283" w:type="dxa"/>
          </w:tcPr>
          <w:p w:rsidR="00F574AE" w:rsidRPr="004A620B" w:rsidRDefault="00F574AE" w:rsidP="00E64A04">
            <w:pPr>
              <w:rPr>
                <w:bCs/>
                <w:sz w:val="22"/>
                <w:szCs w:val="22"/>
              </w:rPr>
            </w:pPr>
            <w:r w:rsidRPr="004A620B">
              <w:rPr>
                <w:bCs/>
                <w:sz w:val="22"/>
                <w:szCs w:val="22"/>
              </w:rPr>
              <w:t>-</w:t>
            </w:r>
          </w:p>
        </w:tc>
      </w:tr>
      <w:tr w:rsidR="00F574AE" w:rsidRPr="00F85D3C">
        <w:tc>
          <w:tcPr>
            <w:tcW w:w="1768" w:type="dxa"/>
            <w:tcBorders>
              <w:bottom w:val="single" w:sz="4" w:space="0" w:color="auto"/>
            </w:tcBorders>
          </w:tcPr>
          <w:p w:rsidR="00F574AE" w:rsidRPr="00F85D3C" w:rsidRDefault="00F574AE" w:rsidP="00E64A04">
            <w:pPr>
              <w:rPr>
                <w:i/>
                <w:sz w:val="22"/>
                <w:szCs w:val="22"/>
              </w:rPr>
            </w:pPr>
            <w:proofErr w:type="spellStart"/>
            <w:r w:rsidRPr="00F85D3C">
              <w:rPr>
                <w:i/>
                <w:sz w:val="22"/>
                <w:szCs w:val="22"/>
              </w:rPr>
              <w:t>Waldheimia</w:t>
            </w:r>
            <w:proofErr w:type="spellEnd"/>
            <w:r w:rsidRPr="00F85D3C">
              <w:rPr>
                <w:i/>
                <w:sz w:val="22"/>
                <w:szCs w:val="22"/>
              </w:rPr>
              <w:t xml:space="preserve"> </w:t>
            </w:r>
            <w:proofErr w:type="spellStart"/>
            <w:r w:rsidRPr="00F85D3C">
              <w:rPr>
                <w:i/>
                <w:sz w:val="22"/>
                <w:szCs w:val="22"/>
              </w:rPr>
              <w:t>tridactylites</w:t>
            </w:r>
            <w:proofErr w:type="spellEnd"/>
          </w:p>
        </w:tc>
        <w:tc>
          <w:tcPr>
            <w:tcW w:w="1466" w:type="dxa"/>
            <w:tcBorders>
              <w:bottom w:val="single" w:sz="4" w:space="0" w:color="auto"/>
            </w:tcBorders>
          </w:tcPr>
          <w:p w:rsidR="00F574AE" w:rsidRPr="00F85D3C" w:rsidRDefault="00F714DC" w:rsidP="00E64A04">
            <w:pPr>
              <w:rPr>
                <w:sz w:val="22"/>
                <w:szCs w:val="22"/>
              </w:rPr>
            </w:pPr>
            <w:r w:rsidRPr="00F85D3C">
              <w:rPr>
                <w:sz w:val="22"/>
                <w:szCs w:val="22"/>
              </w:rPr>
              <w:fldChar w:fldCharType="begin"/>
            </w:r>
            <w:r w:rsidR="00F574AE" w:rsidRPr="00F85D3C">
              <w:rPr>
                <w:sz w:val="22"/>
                <w:szCs w:val="22"/>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F85D3C">
              <w:rPr>
                <w:sz w:val="22"/>
                <w:szCs w:val="22"/>
              </w:rPr>
              <w:fldChar w:fldCharType="separate"/>
            </w:r>
            <w:r w:rsidR="00F574AE" w:rsidRPr="00F85D3C">
              <w:rPr>
                <w:noProof/>
                <w:sz w:val="22"/>
                <w:szCs w:val="22"/>
              </w:rPr>
              <w:t>Klimeš &amp; Dolezal 2010</w:t>
            </w:r>
            <w:r w:rsidRPr="00F85D3C">
              <w:rPr>
                <w:sz w:val="22"/>
                <w:szCs w:val="22"/>
              </w:rPr>
              <w:fldChar w:fldCharType="end"/>
            </w:r>
          </w:p>
        </w:tc>
        <w:tc>
          <w:tcPr>
            <w:tcW w:w="966" w:type="dxa"/>
            <w:tcBorders>
              <w:bottom w:val="single" w:sz="4" w:space="0" w:color="auto"/>
            </w:tcBorders>
          </w:tcPr>
          <w:p w:rsidR="00F574AE" w:rsidRPr="00F85D3C" w:rsidRDefault="00F574AE" w:rsidP="00E64A04">
            <w:pPr>
              <w:rPr>
                <w:sz w:val="22"/>
                <w:szCs w:val="22"/>
              </w:rPr>
            </w:pPr>
            <w:r w:rsidRPr="00F85D3C">
              <w:rPr>
                <w:sz w:val="22"/>
                <w:szCs w:val="22"/>
              </w:rPr>
              <w:t>V</w:t>
            </w:r>
          </w:p>
        </w:tc>
        <w:tc>
          <w:tcPr>
            <w:tcW w:w="944" w:type="dxa"/>
            <w:tcBorders>
              <w:bottom w:val="single" w:sz="4" w:space="0" w:color="auto"/>
            </w:tcBorders>
          </w:tcPr>
          <w:p w:rsidR="00F574AE" w:rsidRPr="00F85D3C" w:rsidRDefault="00F574AE" w:rsidP="00E64A04">
            <w:pPr>
              <w:rPr>
                <w:sz w:val="22"/>
                <w:szCs w:val="22"/>
              </w:rPr>
            </w:pPr>
            <w:r w:rsidRPr="00F85D3C">
              <w:rPr>
                <w:sz w:val="22"/>
                <w:szCs w:val="22"/>
              </w:rPr>
              <w:t xml:space="preserve">+ </w:t>
            </w:r>
          </w:p>
        </w:tc>
        <w:tc>
          <w:tcPr>
            <w:tcW w:w="1151" w:type="dxa"/>
            <w:tcBorders>
              <w:bottom w:val="single" w:sz="4" w:space="0" w:color="auto"/>
            </w:tcBorders>
          </w:tcPr>
          <w:p w:rsidR="00F574AE" w:rsidRPr="00F85D3C" w:rsidRDefault="00F574AE" w:rsidP="00E64A04">
            <w:pPr>
              <w:rPr>
                <w:sz w:val="22"/>
                <w:szCs w:val="22"/>
              </w:rPr>
            </w:pPr>
            <w:r>
              <w:rPr>
                <w:sz w:val="22"/>
                <w:szCs w:val="22"/>
              </w:rPr>
              <w:t>-</w:t>
            </w:r>
          </w:p>
        </w:tc>
        <w:tc>
          <w:tcPr>
            <w:tcW w:w="1134" w:type="dxa"/>
            <w:tcBorders>
              <w:bottom w:val="single" w:sz="4" w:space="0" w:color="auto"/>
            </w:tcBorders>
          </w:tcPr>
          <w:p w:rsidR="00F574AE" w:rsidRPr="002A6B03" w:rsidRDefault="00F574AE" w:rsidP="00E64A04">
            <w:pPr>
              <w:rPr>
                <w:bCs/>
                <w:sz w:val="22"/>
                <w:szCs w:val="22"/>
              </w:rPr>
            </w:pPr>
            <w:r w:rsidRPr="002A6B03">
              <w:rPr>
                <w:bCs/>
                <w:sz w:val="22"/>
                <w:szCs w:val="22"/>
              </w:rPr>
              <w:t>-</w:t>
            </w:r>
          </w:p>
        </w:tc>
        <w:tc>
          <w:tcPr>
            <w:tcW w:w="1276" w:type="dxa"/>
            <w:tcBorders>
              <w:bottom w:val="single" w:sz="4" w:space="0" w:color="auto"/>
            </w:tcBorders>
          </w:tcPr>
          <w:p w:rsidR="00F574AE" w:rsidRPr="00454B56" w:rsidRDefault="00F574AE" w:rsidP="00E64A04">
            <w:pPr>
              <w:rPr>
                <w:bCs/>
                <w:sz w:val="22"/>
                <w:szCs w:val="22"/>
              </w:rPr>
            </w:pPr>
            <w:r w:rsidRPr="00454B56">
              <w:rPr>
                <w:bCs/>
                <w:sz w:val="22"/>
                <w:szCs w:val="22"/>
              </w:rPr>
              <w:t>-</w:t>
            </w:r>
          </w:p>
        </w:tc>
        <w:tc>
          <w:tcPr>
            <w:tcW w:w="1132" w:type="dxa"/>
            <w:tcBorders>
              <w:bottom w:val="single" w:sz="4" w:space="0" w:color="auto"/>
            </w:tcBorders>
          </w:tcPr>
          <w:p w:rsidR="00F574AE" w:rsidRPr="00930846" w:rsidRDefault="00F574AE" w:rsidP="00E64A04">
            <w:pPr>
              <w:rPr>
                <w:bCs/>
                <w:sz w:val="22"/>
                <w:szCs w:val="22"/>
              </w:rPr>
            </w:pPr>
            <w:r w:rsidRPr="00930846">
              <w:rPr>
                <w:bCs/>
                <w:sz w:val="22"/>
                <w:szCs w:val="22"/>
              </w:rPr>
              <w:t>-</w:t>
            </w:r>
          </w:p>
        </w:tc>
        <w:tc>
          <w:tcPr>
            <w:tcW w:w="1271" w:type="dxa"/>
            <w:tcBorders>
              <w:bottom w:val="single" w:sz="4" w:space="0" w:color="auto"/>
            </w:tcBorders>
          </w:tcPr>
          <w:p w:rsidR="00F574AE" w:rsidRPr="00B0712B" w:rsidRDefault="00F574AE" w:rsidP="00E64A04">
            <w:pPr>
              <w:rPr>
                <w:bCs/>
                <w:sz w:val="22"/>
                <w:szCs w:val="22"/>
              </w:rPr>
            </w:pPr>
            <w:r w:rsidRPr="00B0712B">
              <w:rPr>
                <w:bCs/>
                <w:sz w:val="22"/>
                <w:szCs w:val="22"/>
              </w:rPr>
              <w:t>-</w:t>
            </w:r>
          </w:p>
        </w:tc>
        <w:tc>
          <w:tcPr>
            <w:tcW w:w="1283" w:type="dxa"/>
            <w:tcBorders>
              <w:bottom w:val="single" w:sz="4" w:space="0" w:color="auto"/>
            </w:tcBorders>
          </w:tcPr>
          <w:p w:rsidR="00F574AE" w:rsidRPr="004A620B" w:rsidRDefault="00F574AE" w:rsidP="00E64A04">
            <w:pPr>
              <w:rPr>
                <w:bCs/>
                <w:sz w:val="22"/>
                <w:szCs w:val="22"/>
              </w:rPr>
            </w:pPr>
            <w:r w:rsidRPr="004A620B">
              <w:rPr>
                <w:bCs/>
                <w:sz w:val="22"/>
                <w:szCs w:val="22"/>
              </w:rPr>
              <w:t>-</w:t>
            </w:r>
          </w:p>
        </w:tc>
      </w:tr>
    </w:tbl>
    <w:p w:rsidR="00F574AE" w:rsidRPr="00F85D3C" w:rsidRDefault="00F461E0" w:rsidP="00F574AE">
      <w:r w:rsidRPr="00000AF6">
        <w:rPr>
          <w:sz w:val="22"/>
          <w:szCs w:val="22"/>
        </w:rPr>
        <w:t xml:space="preserve">* </w:t>
      </w:r>
      <w:r>
        <w:rPr>
          <w:sz w:val="22"/>
          <w:szCs w:val="22"/>
        </w:rPr>
        <w:t>“Both” indicates that the authors of the transplant experiments tested both horizontal and vertical range limits. In-range and over-the-edge sites from both types of range limits were analyzed together in the “combined” version of our analysis and separately in our analyses of horizontal and vertical range limits.</w:t>
      </w:r>
    </w:p>
    <w:p w:rsidR="00F574AE" w:rsidRDefault="00F574AE" w:rsidP="00F574AE">
      <w:r>
        <w:br w:type="page"/>
      </w:r>
      <w:r>
        <w:lastRenderedPageBreak/>
        <w:t>Table S3-5</w:t>
      </w:r>
      <w:r w:rsidRPr="00F85D3C">
        <w:t xml:space="preserve">. </w:t>
      </w:r>
      <w:r>
        <w:t xml:space="preserve"> Fitness and suitability patterns across horizontal range limits (- indicates fitness or suitability declined across range limits; + indicates a lack of decline). See Table S3-2 for key to the parameter settings for the different analyses (V1-V6). </w:t>
      </w:r>
    </w:p>
    <w:p w:rsidR="00F574AE" w:rsidRPr="00F85D3C" w:rsidRDefault="00F574AE" w:rsidP="00F574AE"/>
    <w:tbl>
      <w:tblPr>
        <w:tblW w:w="11425" w:type="dxa"/>
        <w:tblLayout w:type="fixed"/>
        <w:tblCellMar>
          <w:left w:w="58" w:type="dxa"/>
          <w:right w:w="58" w:type="dxa"/>
        </w:tblCellMar>
        <w:tblLook w:val="00BF" w:firstRow="1" w:lastRow="0" w:firstColumn="1" w:lastColumn="0" w:noHBand="0" w:noVBand="0"/>
      </w:tblPr>
      <w:tblGrid>
        <w:gridCol w:w="1768"/>
        <w:gridCol w:w="1466"/>
        <w:gridCol w:w="944"/>
        <w:gridCol w:w="1151"/>
        <w:gridCol w:w="1134"/>
        <w:gridCol w:w="1276"/>
        <w:gridCol w:w="1132"/>
        <w:gridCol w:w="1271"/>
        <w:gridCol w:w="1283"/>
      </w:tblGrid>
      <w:tr w:rsidR="00F461E0" w:rsidRPr="00F85D3C" w:rsidTr="00F461E0">
        <w:tc>
          <w:tcPr>
            <w:tcW w:w="1768" w:type="dxa"/>
            <w:tcBorders>
              <w:top w:val="single" w:sz="4" w:space="0" w:color="auto"/>
              <w:bottom w:val="single" w:sz="4" w:space="0" w:color="auto"/>
            </w:tcBorders>
            <w:vAlign w:val="bottom"/>
          </w:tcPr>
          <w:p w:rsidR="00F461E0" w:rsidRPr="00000AF6" w:rsidRDefault="00F461E0" w:rsidP="00E64A04">
            <w:pPr>
              <w:ind w:right="-91"/>
              <w:rPr>
                <w:b/>
                <w:sz w:val="22"/>
                <w:szCs w:val="22"/>
              </w:rPr>
            </w:pPr>
            <w:r w:rsidRPr="00000AF6">
              <w:rPr>
                <w:b/>
                <w:sz w:val="22"/>
                <w:szCs w:val="22"/>
              </w:rPr>
              <w:t>Species</w:t>
            </w:r>
          </w:p>
        </w:tc>
        <w:tc>
          <w:tcPr>
            <w:tcW w:w="1466" w:type="dxa"/>
            <w:tcBorders>
              <w:top w:val="single" w:sz="4" w:space="0" w:color="auto"/>
              <w:bottom w:val="single" w:sz="4" w:space="0" w:color="auto"/>
            </w:tcBorders>
            <w:vAlign w:val="bottom"/>
          </w:tcPr>
          <w:p w:rsidR="00F461E0" w:rsidRPr="00F85D3C" w:rsidRDefault="00F461E0" w:rsidP="00E64A04">
            <w:pPr>
              <w:rPr>
                <w:b/>
                <w:sz w:val="22"/>
                <w:szCs w:val="22"/>
              </w:rPr>
            </w:pPr>
            <w:r w:rsidRPr="00F85D3C">
              <w:rPr>
                <w:b/>
                <w:sz w:val="22"/>
                <w:szCs w:val="22"/>
              </w:rPr>
              <w:t>Source of TE Data</w:t>
            </w:r>
          </w:p>
        </w:tc>
        <w:tc>
          <w:tcPr>
            <w:tcW w:w="944" w:type="dxa"/>
            <w:tcBorders>
              <w:top w:val="single" w:sz="4" w:space="0" w:color="auto"/>
              <w:bottom w:val="single" w:sz="4" w:space="0" w:color="auto"/>
            </w:tcBorders>
            <w:vAlign w:val="bottom"/>
          </w:tcPr>
          <w:p w:rsidR="00F461E0" w:rsidRPr="00F85D3C" w:rsidRDefault="00F461E0" w:rsidP="00E64A04">
            <w:pPr>
              <w:tabs>
                <w:tab w:val="left" w:pos="733"/>
              </w:tabs>
              <w:ind w:right="-108"/>
              <w:rPr>
                <w:b/>
                <w:sz w:val="22"/>
                <w:szCs w:val="22"/>
              </w:rPr>
            </w:pPr>
            <w:r>
              <w:rPr>
                <w:b/>
                <w:sz w:val="22"/>
                <w:szCs w:val="22"/>
              </w:rPr>
              <w:t>Fitness Pattern</w:t>
            </w:r>
          </w:p>
        </w:tc>
        <w:tc>
          <w:tcPr>
            <w:tcW w:w="1151" w:type="dxa"/>
            <w:tcBorders>
              <w:top w:val="single" w:sz="4" w:space="0" w:color="auto"/>
              <w:bottom w:val="single" w:sz="4" w:space="0" w:color="auto"/>
            </w:tcBorders>
            <w:vAlign w:val="bottom"/>
          </w:tcPr>
          <w:p w:rsidR="00F461E0" w:rsidRPr="0056347D" w:rsidRDefault="00F461E0" w:rsidP="00E64A04">
            <w:pPr>
              <w:ind w:right="-108"/>
              <w:rPr>
                <w:b/>
                <w:sz w:val="22"/>
                <w:szCs w:val="22"/>
              </w:rPr>
            </w:pPr>
            <w:r>
              <w:rPr>
                <w:b/>
                <w:sz w:val="22"/>
                <w:szCs w:val="22"/>
              </w:rPr>
              <w:t>Suitability Pattern V</w:t>
            </w:r>
            <w:r w:rsidRPr="0056347D">
              <w:rPr>
                <w:b/>
                <w:sz w:val="22"/>
                <w:szCs w:val="22"/>
              </w:rPr>
              <w:t>1</w:t>
            </w:r>
          </w:p>
        </w:tc>
        <w:tc>
          <w:tcPr>
            <w:tcW w:w="1134" w:type="dxa"/>
            <w:tcBorders>
              <w:top w:val="single" w:sz="4" w:space="0" w:color="auto"/>
              <w:bottom w:val="single" w:sz="4" w:space="0" w:color="auto"/>
            </w:tcBorders>
            <w:vAlign w:val="bottom"/>
          </w:tcPr>
          <w:p w:rsidR="00F461E0" w:rsidRPr="00F85D3C" w:rsidRDefault="00F461E0" w:rsidP="00E64A04">
            <w:pPr>
              <w:ind w:right="-108"/>
              <w:rPr>
                <w:b/>
                <w:bCs/>
                <w:sz w:val="22"/>
                <w:szCs w:val="22"/>
              </w:rPr>
            </w:pPr>
            <w:r>
              <w:rPr>
                <w:b/>
                <w:sz w:val="22"/>
                <w:szCs w:val="22"/>
              </w:rPr>
              <w:t>Suitability Pattern V2</w:t>
            </w:r>
          </w:p>
        </w:tc>
        <w:tc>
          <w:tcPr>
            <w:tcW w:w="1276" w:type="dxa"/>
            <w:tcBorders>
              <w:top w:val="single" w:sz="4" w:space="0" w:color="auto"/>
              <w:bottom w:val="single" w:sz="4" w:space="0" w:color="auto"/>
            </w:tcBorders>
            <w:vAlign w:val="bottom"/>
          </w:tcPr>
          <w:p w:rsidR="00F461E0" w:rsidRPr="00F85D3C" w:rsidRDefault="00F461E0" w:rsidP="00E64A04">
            <w:pPr>
              <w:rPr>
                <w:b/>
                <w:sz w:val="22"/>
                <w:szCs w:val="22"/>
              </w:rPr>
            </w:pPr>
            <w:r>
              <w:rPr>
                <w:b/>
                <w:sz w:val="22"/>
                <w:szCs w:val="22"/>
              </w:rPr>
              <w:t>Suitability Pattern V3</w:t>
            </w:r>
          </w:p>
        </w:tc>
        <w:tc>
          <w:tcPr>
            <w:tcW w:w="1132" w:type="dxa"/>
            <w:tcBorders>
              <w:top w:val="single" w:sz="4" w:space="0" w:color="auto"/>
              <w:bottom w:val="single" w:sz="4" w:space="0" w:color="auto"/>
            </w:tcBorders>
            <w:vAlign w:val="bottom"/>
          </w:tcPr>
          <w:p w:rsidR="00F461E0" w:rsidRPr="00F85D3C" w:rsidRDefault="00F461E0" w:rsidP="00E64A04">
            <w:pPr>
              <w:ind w:right="-108"/>
              <w:rPr>
                <w:b/>
                <w:sz w:val="22"/>
                <w:szCs w:val="22"/>
              </w:rPr>
            </w:pPr>
            <w:r>
              <w:rPr>
                <w:b/>
                <w:sz w:val="22"/>
                <w:szCs w:val="22"/>
              </w:rPr>
              <w:t>Suitability Pattern V4</w:t>
            </w:r>
          </w:p>
        </w:tc>
        <w:tc>
          <w:tcPr>
            <w:tcW w:w="1271" w:type="dxa"/>
            <w:tcBorders>
              <w:top w:val="single" w:sz="4" w:space="0" w:color="auto"/>
              <w:bottom w:val="single" w:sz="4" w:space="0" w:color="auto"/>
            </w:tcBorders>
            <w:vAlign w:val="bottom"/>
          </w:tcPr>
          <w:p w:rsidR="00F461E0" w:rsidRPr="00F85D3C" w:rsidRDefault="00F461E0" w:rsidP="00E64A04">
            <w:pPr>
              <w:rPr>
                <w:b/>
                <w:sz w:val="22"/>
                <w:szCs w:val="22"/>
              </w:rPr>
            </w:pPr>
            <w:r>
              <w:rPr>
                <w:b/>
                <w:sz w:val="22"/>
                <w:szCs w:val="22"/>
              </w:rPr>
              <w:t>Suitability Pattern V5</w:t>
            </w:r>
          </w:p>
        </w:tc>
        <w:tc>
          <w:tcPr>
            <w:tcW w:w="1283" w:type="dxa"/>
            <w:tcBorders>
              <w:top w:val="single" w:sz="4" w:space="0" w:color="auto"/>
              <w:bottom w:val="single" w:sz="4" w:space="0" w:color="auto"/>
            </w:tcBorders>
            <w:vAlign w:val="bottom"/>
          </w:tcPr>
          <w:p w:rsidR="00F461E0" w:rsidRPr="00F85D3C" w:rsidRDefault="00F461E0" w:rsidP="001F0BFC">
            <w:pPr>
              <w:ind w:right="-58"/>
              <w:rPr>
                <w:b/>
                <w:sz w:val="22"/>
                <w:szCs w:val="22"/>
              </w:rPr>
            </w:pPr>
            <w:r>
              <w:rPr>
                <w:b/>
                <w:sz w:val="22"/>
                <w:szCs w:val="22"/>
              </w:rPr>
              <w:t>Suitability Pattern V6</w:t>
            </w:r>
          </w:p>
        </w:tc>
      </w:tr>
      <w:tr w:rsidR="00F461E0" w:rsidRPr="00F85D3C" w:rsidTr="00F461E0">
        <w:tc>
          <w:tcPr>
            <w:tcW w:w="1768" w:type="dxa"/>
            <w:tcBorders>
              <w:top w:val="single" w:sz="4" w:space="0" w:color="auto"/>
            </w:tcBorders>
          </w:tcPr>
          <w:p w:rsidR="00F461E0" w:rsidRPr="00000AF6" w:rsidRDefault="00F461E0" w:rsidP="00E64A04">
            <w:pPr>
              <w:rPr>
                <w:i/>
                <w:sz w:val="22"/>
                <w:szCs w:val="22"/>
              </w:rPr>
            </w:pPr>
            <w:r w:rsidRPr="00000AF6">
              <w:rPr>
                <w:i/>
                <w:sz w:val="22"/>
                <w:szCs w:val="22"/>
              </w:rPr>
              <w:t xml:space="preserve">Abutilon </w:t>
            </w:r>
            <w:proofErr w:type="spellStart"/>
            <w:r w:rsidRPr="00000AF6">
              <w:rPr>
                <w:i/>
                <w:sz w:val="22"/>
                <w:szCs w:val="22"/>
              </w:rPr>
              <w:t>theophrasti</w:t>
            </w:r>
            <w:proofErr w:type="spellEnd"/>
          </w:p>
        </w:tc>
        <w:tc>
          <w:tcPr>
            <w:tcW w:w="1466" w:type="dxa"/>
            <w:tcBorders>
              <w:top w:val="single" w:sz="4" w:space="0" w:color="auto"/>
            </w:tcBorders>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"(Andersen &lt;i&gt;et al.&lt;/i&gt; 1985)", "manualFormatting": "Andersen et al. 1985"}, "citationItems": [{"uris": ["http://www.mendeley.com/documents/?uuid=8755b650-885f-484a-b6d8-16d4cfa23022"], "id": "ITEM-1", "itemData": {"type": "article-journal", "author": [{"given": "Robert N", "dropping-particle": "", "suffix": "", "family": "Andersen", "parse-names": false, "non-dropping-particle": ""}, {"given": "Robert M", "dropping-particle": "", "suffix": "", "family": "Menges", "parse-names": false, "non-dropping-particle": ""}, {"given": "Jeffery S", "dropping-particle": "", "suffix": "", "family": "Conn", "parse-names": false, "non-dropping-particle": ""}], "issued": {"date-parts": [["1985"]]}, "ISSN": "0043-1745", "page": "507-512", "volume": "33", "container-title": "Weed Science", "title": "Variability in velvetleaf (Abutilon theophrasti) and reproduction beyond its current range in North America", "issue": "4", "id": "ITEM-1"}}], "properties": {"noteIndex": 0}, "schema": "https://github.com/citation-style-language/schema/raw/master/csl-citation.json"}</w:instrText>
            </w:r>
            <w:r w:rsidRPr="00F85D3C">
              <w:rPr>
                <w:sz w:val="22"/>
                <w:szCs w:val="22"/>
              </w:rPr>
              <w:fldChar w:fldCharType="separate"/>
            </w:r>
            <w:r w:rsidRPr="00F85D3C">
              <w:rPr>
                <w:noProof/>
                <w:sz w:val="22"/>
                <w:szCs w:val="22"/>
              </w:rPr>
              <w:t>Andersen et al. 1985</w:t>
            </w:r>
            <w:r w:rsidRPr="00F85D3C">
              <w:rPr>
                <w:sz w:val="22"/>
                <w:szCs w:val="22"/>
              </w:rPr>
              <w:fldChar w:fldCharType="end"/>
            </w:r>
          </w:p>
        </w:tc>
        <w:tc>
          <w:tcPr>
            <w:tcW w:w="944" w:type="dxa"/>
            <w:tcBorders>
              <w:top w:val="single" w:sz="4" w:space="0" w:color="auto"/>
            </w:tcBorders>
          </w:tcPr>
          <w:p w:rsidR="00F461E0" w:rsidRPr="00F85D3C" w:rsidRDefault="00F461E0" w:rsidP="00E64A04">
            <w:pPr>
              <w:rPr>
                <w:sz w:val="22"/>
                <w:szCs w:val="22"/>
              </w:rPr>
            </w:pPr>
            <w:r w:rsidRPr="00F85D3C">
              <w:rPr>
                <w:sz w:val="22"/>
                <w:szCs w:val="22"/>
              </w:rPr>
              <w:t xml:space="preserve">- </w:t>
            </w:r>
          </w:p>
        </w:tc>
        <w:tc>
          <w:tcPr>
            <w:tcW w:w="1151" w:type="dxa"/>
            <w:tcBorders>
              <w:top w:val="single" w:sz="4" w:space="0" w:color="auto"/>
            </w:tcBorders>
          </w:tcPr>
          <w:p w:rsidR="00F461E0" w:rsidRPr="0056347D" w:rsidRDefault="00F461E0" w:rsidP="00E64A04">
            <w:pPr>
              <w:rPr>
                <w:bCs/>
                <w:sz w:val="22"/>
                <w:szCs w:val="22"/>
              </w:rPr>
            </w:pPr>
            <w:r w:rsidRPr="0056347D">
              <w:rPr>
                <w:bCs/>
                <w:sz w:val="22"/>
                <w:szCs w:val="22"/>
              </w:rPr>
              <w:t>-</w:t>
            </w:r>
          </w:p>
        </w:tc>
        <w:tc>
          <w:tcPr>
            <w:tcW w:w="1134" w:type="dxa"/>
            <w:tcBorders>
              <w:top w:val="single" w:sz="4" w:space="0" w:color="auto"/>
            </w:tcBorders>
          </w:tcPr>
          <w:p w:rsidR="00F461E0" w:rsidRPr="002543EE" w:rsidRDefault="00F461E0" w:rsidP="00E64A04">
            <w:pPr>
              <w:rPr>
                <w:bCs/>
                <w:sz w:val="22"/>
                <w:szCs w:val="22"/>
              </w:rPr>
            </w:pPr>
            <w:r w:rsidRPr="002543EE">
              <w:rPr>
                <w:bCs/>
                <w:sz w:val="22"/>
                <w:szCs w:val="22"/>
              </w:rPr>
              <w:t>-</w:t>
            </w:r>
          </w:p>
        </w:tc>
        <w:tc>
          <w:tcPr>
            <w:tcW w:w="1276" w:type="dxa"/>
            <w:tcBorders>
              <w:top w:val="single" w:sz="4" w:space="0" w:color="auto"/>
            </w:tcBorders>
          </w:tcPr>
          <w:p w:rsidR="00F461E0" w:rsidRPr="00DB3B1F" w:rsidRDefault="00F461E0" w:rsidP="00E64A04">
            <w:pPr>
              <w:rPr>
                <w:bCs/>
                <w:sz w:val="22"/>
                <w:szCs w:val="22"/>
              </w:rPr>
            </w:pPr>
            <w:r w:rsidRPr="00DB3B1F">
              <w:rPr>
                <w:bCs/>
                <w:sz w:val="22"/>
                <w:szCs w:val="22"/>
              </w:rPr>
              <w:t>-</w:t>
            </w:r>
          </w:p>
        </w:tc>
        <w:tc>
          <w:tcPr>
            <w:tcW w:w="1132" w:type="dxa"/>
            <w:tcBorders>
              <w:top w:val="single" w:sz="4" w:space="0" w:color="auto"/>
            </w:tcBorders>
          </w:tcPr>
          <w:p w:rsidR="00F461E0" w:rsidRPr="003811A0" w:rsidRDefault="00F461E0" w:rsidP="00E64A04">
            <w:pPr>
              <w:rPr>
                <w:bCs/>
                <w:sz w:val="22"/>
                <w:szCs w:val="22"/>
              </w:rPr>
            </w:pPr>
            <w:r w:rsidRPr="003811A0">
              <w:rPr>
                <w:bCs/>
                <w:sz w:val="22"/>
                <w:szCs w:val="22"/>
              </w:rPr>
              <w:t>+</w:t>
            </w:r>
          </w:p>
        </w:tc>
        <w:tc>
          <w:tcPr>
            <w:tcW w:w="1271" w:type="dxa"/>
            <w:tcBorders>
              <w:top w:val="single" w:sz="4" w:space="0" w:color="auto"/>
            </w:tcBorders>
          </w:tcPr>
          <w:p w:rsidR="00F461E0" w:rsidRPr="00B0712B" w:rsidRDefault="00F461E0" w:rsidP="00E64A04">
            <w:pPr>
              <w:rPr>
                <w:bCs/>
                <w:sz w:val="22"/>
                <w:szCs w:val="22"/>
              </w:rPr>
            </w:pPr>
            <w:r w:rsidRPr="00B0712B">
              <w:rPr>
                <w:bCs/>
                <w:sz w:val="22"/>
                <w:szCs w:val="22"/>
              </w:rPr>
              <w:t>-</w:t>
            </w:r>
          </w:p>
        </w:tc>
        <w:tc>
          <w:tcPr>
            <w:tcW w:w="1283" w:type="dxa"/>
            <w:tcBorders>
              <w:top w:val="single" w:sz="4" w:space="0" w:color="auto"/>
            </w:tcBorders>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Acer </w:t>
            </w:r>
          </w:p>
          <w:p w:rsidR="00F461E0" w:rsidRPr="00000AF6" w:rsidRDefault="00F461E0" w:rsidP="00E64A04">
            <w:pPr>
              <w:rPr>
                <w:i/>
                <w:sz w:val="22"/>
                <w:szCs w:val="22"/>
              </w:rPr>
            </w:pPr>
            <w:r w:rsidRPr="00000AF6">
              <w:rPr>
                <w:i/>
                <w:sz w:val="22"/>
                <w:szCs w:val="22"/>
              </w:rPr>
              <w:t>saccharum</w:t>
            </w:r>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"(Kellman 2004)", "manualFormatting": "Kellman 2004"}, "citationItems": [{"uris": ["http://www.mendeley.com/documents/?uuid=a79ef81f-da8d-4789-b282-825be9db03f5"], "id": "ITEM-1", "itemData": {"publisher": "BLACKWELL PUBLISHING LTD", "DOI": "10.1111/j.1365-2699.2004.01128.x", "type": "article-journal", "publisher-place": "9600 GARSINGTON RD, OXFORD OX4 2DG, OXON, ENGLAND", "author": [{"given": "Martin", "dropping-particle": "", "suffix": "", "family": "Kellman", "parse-names": false, "non-dropping-particle": ""}], "issued": {"date-parts": [["2004", "9", "24"]]}, "abstract": "Aim To evaluate whether seedlings of sugar maple (Acer saccharum Marsh.) can establish beyond the species northern range limit in adjacent boreal forest. Location The hardwood-boreal forest transition zone on the north-east shore of Lake Superior, Ontario, Canada. Methods Seed fall of sugar maple was monitored for 5 years in a stand of this species at its northern range limit, and seed from this stand was transplanted to five micro-habitat types in an adjacent boreal forest. The establishment and survival of sugar maple seedlings there, and in the seed-source stand, was monitored for the following 7-11 years. Soil-surface light levels were measured in both forest types. Results Most seed fell in the final year of monitoring, when c. 250 seeds m(-2) were recorded. First-year seedling establishment rates in the maple stand, deriving from this mast seed year, was approximately double that deriving from seed transplanted to the boreal forest sites; this is tentatively attributed to seed predator satiation in the maple stand. However, subsequent seedling survivorship in the boreal forest was greater than that in the maple stand, resulting in comparable seedling densities by the end of 6 years. This difference is tentatively attributed to better illumination in the boreal forest sites, and canopy-opening disturbances appear to be especially facilitative of seedling survival. Main conclusions There is no fundamental impediment to sugar maple seedlings establishing in boreal forest communities if climate warming occurs and seed is available. If management intervention is needed to accelerate seed availability in a rapidly warming boreal forest, then diffuse seed application to disturbed boreal forest sites during mast years of local boreal tree species is recommended as the most effective way of avoiding seed predation and increasing seedling survival.", "ISSN": "0305-0270", "page": "1515-1522", "volume": "31", "container-title": "Journal of Biogeography", "title": "Sugar maple (Acer saccharum Marsh.) establishment in boreal forest: results of a transplantation experiment", "issue": "9", "id": "ITEM-1"}}], "properties": {"noteIndex": 0}, "schema": "https://github.com/citation-style-language/schema/raw/master/csl-citation.json"}</w:instrText>
            </w:r>
            <w:r w:rsidRPr="00F85D3C">
              <w:rPr>
                <w:sz w:val="22"/>
                <w:szCs w:val="22"/>
              </w:rPr>
              <w:fldChar w:fldCharType="separate"/>
            </w:r>
            <w:r w:rsidRPr="00F85D3C">
              <w:rPr>
                <w:noProof/>
                <w:sz w:val="22"/>
                <w:szCs w:val="22"/>
              </w:rPr>
              <w:t>Kellman 2004</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Atalopedes</w:t>
            </w:r>
            <w:proofErr w:type="spellEnd"/>
            <w:r w:rsidRPr="00000AF6">
              <w:rPr>
                <w:i/>
                <w:sz w:val="22"/>
                <w:szCs w:val="22"/>
              </w:rPr>
              <w:t xml:space="preserve"> campestris</w:t>
            </w:r>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"(Crozier 2004)", "manualFormatting": "Crozier 2004"}, "citationItems": [{"uris": ["http://www.mendeley.com/documents/?uuid=32c940cb-0511-4afd-97be-698a82fc54e6"], "id": "ITEM-1", "itemData": {"DOI": "10.1007/s00442-004-1634-z", "type": "article-journal", "author": [{"given": "Lisa G", "dropping-particle": "", "suffix": "", "family": "Crozier", "parse-names": false, "non-dropping-particle": ""}], "issued": {"date-parts": [["2004", "9"]]}, "ISSN": "0029-8549", "page": "148-157", "volume": "141", "container-title": "Oecologia", "title": "Field transplants reveal summer constraints on a butterfly range expansion", "issue": "1", "id": "ITEM-1"}}], "properties": {"noteIndex": 0}, "schema": "https://github.com/citation-style-language/schema/raw/master/csl-citation.json"}</w:instrText>
            </w:r>
            <w:r w:rsidRPr="00F85D3C">
              <w:rPr>
                <w:sz w:val="22"/>
                <w:szCs w:val="22"/>
              </w:rPr>
              <w:fldChar w:fldCharType="separate"/>
            </w:r>
            <w:r w:rsidRPr="00F85D3C">
              <w:rPr>
                <w:noProof/>
                <w:sz w:val="22"/>
                <w:szCs w:val="22"/>
              </w:rPr>
              <w:t>Crozier 2004</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Betula</w:t>
            </w:r>
          </w:p>
          <w:p w:rsidR="00F461E0" w:rsidRPr="00000AF6" w:rsidRDefault="00F461E0" w:rsidP="00E64A04">
            <w:pPr>
              <w:rPr>
                <w:i/>
                <w:sz w:val="22"/>
                <w:szCs w:val="22"/>
              </w:rPr>
            </w:pPr>
            <w:proofErr w:type="spellStart"/>
            <w:r w:rsidRPr="00000AF6">
              <w:rPr>
                <w:i/>
                <w:sz w:val="22"/>
                <w:szCs w:val="22"/>
              </w:rPr>
              <w:t>papyrifera</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"(Hobbie &amp; Chapin III 1998)", "manualFormatting": "Hobbie &amp; Chapin  1998"}, "citationItems": [{"uris": ["http://www.mendeley.com/documents/?uuid=21c46071-cf71-4981-9163-98eb1a4c6706"], "id": "ITEM-1", "itemData": {"DOI": "10.1046/j.1365-2745.1998.00278.x", "type": "article-journal", "author": [{"given": "Sarah E", "dropping-particle": "", "suffix": "", "family": "Hobbie", "parse-names": false, "non-dropping-particle": ""}, {"given": "F Stuart", "dropping-particle": "", "suffix": "", "family": "Chapin III", "parse-names": false, "non-dropping-particle": ""}], "issued": {"date-parts": [["1998", "6"]]}, "abstract": "1 Five treeline species had low seed germination rates and low survivorship and growth of seedlings when transplanted into Alaskan tundra. Seed germination of all species increased with experimental warming, suggesting that the present treeline may in part result from unsuccessful recruitment under cold conditions. 2 Growth, biomass and survivorship of seedlings of treeline species transplanted into tundra were largely unaffected by experimental warming. However, transplanted seedlings of three species (Betula papyrifera, Picea glauca and Populus tremuloides) grew more when below-ground competition with the extant community was reduced. All three measures of transplant performance were greater in shrub tundra than in the less productive tussock or heath tundra. Establishment of trees in tundra may thus be prevented by low resource availability and competition. 3 Two species (Alnus crispa and Populus balsamifera) had low seed germination and survivorship of germinated seeds; transplants of these species did not respond to the manipulations and lost biomass following transplanting into tundra. Isolated populations of these two species north of the present treeline in arctic Alaska probably became established during mid-Holocene warming rather than in recent times. 4 Of all the species studied here, Picea glauca was the most likely to invade intact upland tundra. Its seeds had the highest germination rates and it was the only species whose seedlings survived subsequently. Furthermore, transplanted seedlings of Picea glauca had relatively high survivorship and positive growth in tundra, especially in treatments that increased air temperature or nutrient availability, two factors likely to increase with climate warming.", "ISSN": "0022-0477", "page": "449-461", "volume": "86", "container-title": "Journal of Ecology", "title": "An experimental test of limits to tree establishment in Arctic tundra", "issue": "3", "id": "ITEM-1"}}], "properties": {"noteIndex": 0}, "schema": "https://github.com/citation-style-language/schema/raw/master/csl-citation.json"}</w:instrText>
            </w:r>
            <w:r w:rsidRPr="00F85D3C">
              <w:rPr>
                <w:sz w:val="22"/>
                <w:szCs w:val="22"/>
              </w:rPr>
              <w:fldChar w:fldCharType="separate"/>
            </w:r>
            <w:r w:rsidRPr="00F85D3C">
              <w:rPr>
                <w:noProof/>
                <w:sz w:val="22"/>
                <w:szCs w:val="22"/>
              </w:rPr>
              <w:t>Hobbie &amp; Chapin  1998</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Camissoniopsis</w:t>
            </w:r>
            <w:proofErr w:type="spellEnd"/>
            <w:r w:rsidRPr="00000AF6">
              <w:rPr>
                <w:i/>
                <w:sz w:val="22"/>
                <w:szCs w:val="22"/>
              </w:rPr>
              <w:t xml:space="preserve"> </w:t>
            </w:r>
            <w:proofErr w:type="spellStart"/>
            <w:r w:rsidRPr="00000AF6">
              <w:rPr>
                <w:i/>
                <w:sz w:val="22"/>
                <w:szCs w:val="22"/>
              </w:rPr>
              <w:t>cheiranthifolia</w:t>
            </w:r>
            <w:proofErr w:type="spellEnd"/>
            <w:r w:rsidRPr="00000AF6">
              <w:rPr>
                <w:sz w:val="22"/>
                <w:szCs w:val="22"/>
              </w:rPr>
              <w:t>**</w:t>
            </w:r>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"(Samis &amp; Eckert 2009)", "manualFormatting": "Samis &amp; Eckert 2009"}, "citationItems": [{"uris": ["http://www.mendeley.com/documents/?uuid=e1bc50db-1186-42f9-831f-e2921fe78b9f"], "id": "ITEM-1", "itemData": {"volume": "90", "publisher": "ECOLOGICAL SOC AMER", "DOI": "10.1890/08-1914.1", "type": "article-journal", "publisher-place": "1990 M STREET NW, STE 700, WASHINGTON, DC 20036 USA", "author": [{"given": "Karen E", "dropping-particle": "", "suffix": "", "family": "Samis", "parse-names": false, "non-dropping-particle": ""}, {"given": "Christopher G", "dropping-particle": "", "suffix": "", "family": "Eckert", "parse-names": false, "non-dropping-particle": ""}], "issued": {"date-parts": [["2009", "11"]]}, "abstract": "A species is expected to occur where the prevailing biotic and abiotic conditions fall within its fundamental niche. Geographic range limits should, therefore, occur when the survival and fitness of individuals along ecological gradients is reduced to the point at which populations are no longer self-sustaining. Abrupt limits to a species' distribution are expected to reflect abrupt changes in the ecological conditions that cause sharp declines in fitness across the limit. We investigated the correlation between geographic variation in environment and fitness across the abrupt northern range limit of a coastal dune plant, Camissoniopsis cheiranthifolia (Onagraceae). In each of 64 plots distributed across five sites along a 200-km transect spanning the species' northern range limit (four within the range plus one beyond the limit), we measured plant community composition as a proxy for variation in biotic and abiotic environmental factors and lifetime fitness of genetically standardized experimental populations of C. cheiranthifolia. There was substantial variation in plant community composition among plots and sites across the range limit, and fitness of experimental plants covaried strongly with the first principal component of plant community composition. However, we did not detect an abrupt shift in plant community or the expected decline in fitness across the range limit. In fact, fitness and recruitment increased toward the limit and were relatively high beyond the limit. This suggests that habitat beyond the range did not occur outside of the species' fundamental niche. These results challenge niche-based explanations for range limits and suggest that hypotheses involving the finer-scale distribution of habitat patches or constraints on dispersal warrant more serious consideration.", "ISSN": "0012-9658", "page": "3051-3061", "note": "130221\n\n        \n\n        \n\n        \n\n        \n\n        \n\n        \n\n        \n\n        \n\n        \n\n        \n\n        \n\n        \n\n        \n\n        \n\n        \n\n        \nis lewisii \"replacing\" cardinalis at some range limits?\n\n        \n\n        \n\n        \n\n        \n\n        \n\n        \n\n        \n\n        \n\n        \n\n        \n\n        \n\n        \n\n        \n\n        \n\n        \n\n        \nmeasured variation in pl. community composition as a proxy for more complex ecological variation\n\n        \n\n        \n\n        \n\n        \n\n        \n\n        \n\n        \n\n        \n\n        \n\n        \n\n        \n\n        \n\n        \n\n        \n\n        \n\n        \nquestions: is there an ecological gradient? is there an environmental gradient? do factors of these gradients covary with fitness of transplanted populations?\n\n        \n\n        \n\n        \n\n        \n\n        \n\n        \n\n        \n\n        \n\n        \n\n        \n\n        \n\n        \n\n        \n\n        \n\n        \n\n        \ngradients kind of exist, fitness is high beyond range edge, occupancy is lower. no clear conclusion about why this species' limit exists.\n\n        \n\n        \n\n        \n\n        \n\n        \n\n        \n\n        \n\n        \n\n        \n\n        \n\n        \n\n        \n\n        \n\n        \n\n        \n\n        \nplants in northern half of the range are self fertilizing, how do population genetics play into this system?", "container-title": "Ecology", "title": "Ecological correlates of fitness across the northern geographic range limit of a Pacific Coast dune plant", "issue": "11", "id": "ITEM-1"}}], "properties": {"noteIndex": 0}, "schema": "https://github.com/citation-style-language/schema/raw/master/csl-citation.json"}</w:instrText>
            </w:r>
            <w:r w:rsidRPr="00F85D3C">
              <w:rPr>
                <w:sz w:val="22"/>
                <w:szCs w:val="22"/>
              </w:rPr>
              <w:fldChar w:fldCharType="separate"/>
            </w:r>
            <w:r w:rsidRPr="00F85D3C">
              <w:rPr>
                <w:noProof/>
                <w:sz w:val="22"/>
                <w:szCs w:val="22"/>
              </w:rPr>
              <w:t>Samis &amp; Eckert 2009</w:t>
            </w:r>
            <w:r w:rsidRPr="00F85D3C">
              <w:rPr>
                <w:sz w:val="22"/>
                <w:szCs w:val="22"/>
              </w:rPr>
              <w:fldChar w:fldCharType="end"/>
            </w:r>
          </w:p>
        </w:tc>
        <w:tc>
          <w:tcPr>
            <w:tcW w:w="944" w:type="dxa"/>
          </w:tcPr>
          <w:p w:rsidR="00F461E0" w:rsidRPr="00F85D3C" w:rsidRDefault="00F461E0" w:rsidP="002F59B3">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Chamaecrista</w:t>
            </w:r>
            <w:proofErr w:type="spellEnd"/>
            <w:r w:rsidRPr="00000AF6">
              <w:rPr>
                <w:i/>
                <w:sz w:val="22"/>
                <w:szCs w:val="22"/>
              </w:rPr>
              <w:t xml:space="preserve"> fasciculata</w:t>
            </w:r>
            <w:r w:rsidRPr="00000AF6">
              <w:rPr>
                <w:rFonts w:cs="Arial"/>
                <w:sz w:val="22"/>
                <w:szCs w:val="22"/>
                <w:vertAlign w:val="superscript"/>
              </w:rPr>
              <w:t>††</w:t>
            </w:r>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"(Stanton-Geddes &lt;i&gt;et al.&lt;/i&gt; 2012)", "manualFormatting": "Stanton-Geddes et al. 2012"}, "citationItems": [{"uris": ["http://www.mendeley.com/documents/?uuid=d5b45ece-c5a1-48a7-ad91-a136e529d55a"], "id": "ITEM-1", "itemData": {"type": "article-journal", "author": [{"given": "John", "dropping-particle": "", "suffix": "", "family": "Stanton-Geddes", "parse-names": false, "non-dropping-particle": ""}, {"given": "Peter", "dropping-particle": "", "suffix": "", "family": "Tiffin", "parse-names": false, "non-dropping-particle": ""}, {"given": "Ruth G", "dropping-particle": "", "suffix": "", "family": "Shaw", "parse-names": false, "non-dropping-particle": ""}], "issued": {"date-parts": [["2012"]]}, "title": "Role of climate and competitors in limiting fitness across range edges of an annual plant", "page": "1604-1613", "volume": "93", "container-title": "Ecology", "issue": "7", "id": "ITEM-1"}}], "properties": {"noteIndex": 0}, "schema": "https://github.com/citation-style-language/schema/raw/master/csl-citation.json"}</w:instrText>
            </w:r>
            <w:r w:rsidRPr="00F85D3C">
              <w:rPr>
                <w:sz w:val="22"/>
                <w:szCs w:val="22"/>
              </w:rPr>
              <w:fldChar w:fldCharType="separate"/>
            </w:r>
            <w:r w:rsidRPr="00F85D3C">
              <w:rPr>
                <w:noProof/>
                <w:sz w:val="22"/>
                <w:szCs w:val="22"/>
              </w:rPr>
              <w:t>Stanton-Geddes et al. 2012</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Clarkia </w:t>
            </w:r>
            <w:proofErr w:type="spellStart"/>
            <w:r w:rsidRPr="00000AF6">
              <w:rPr>
                <w:i/>
                <w:sz w:val="22"/>
                <w:szCs w:val="22"/>
              </w:rPr>
              <w:t>xantiana</w:t>
            </w:r>
            <w:proofErr w:type="spellEnd"/>
            <w:r w:rsidRPr="00000AF6">
              <w:rPr>
                <w:i/>
                <w:sz w:val="22"/>
                <w:szCs w:val="22"/>
              </w:rPr>
              <w:t xml:space="preserve"> ssp. </w:t>
            </w:r>
            <w:proofErr w:type="spellStart"/>
            <w:r w:rsidRPr="00000AF6">
              <w:rPr>
                <w:i/>
                <w:sz w:val="22"/>
                <w:szCs w:val="22"/>
              </w:rPr>
              <w:t>parviflora</w:t>
            </w:r>
            <w:proofErr w:type="spellEnd"/>
            <w:r w:rsidRPr="00000AF6">
              <w:rPr>
                <w:rFonts w:cs="Arial"/>
                <w:sz w:val="22"/>
                <w:szCs w:val="22"/>
                <w:vertAlign w:val="superscript"/>
              </w:rPr>
              <w:t>‡‡</w:t>
            </w:r>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"(Geber &amp; Eckhart 2005)", "manualFormatting": "Geber &amp; Eckhart 2005"}, "citationItems": [{"uris": ["http://www.mendeley.com/documents/?uuid=b8f70fce-b843-47f8-9f80-4a2660ec7dbc"], "id": "ITEM-1", "itemData": {"publisher": "SOC STUDY EVOLUTION", "DOI": "10.1554/04-265", "type": "article-journal", "publisher-place": "810 E 10TH STREET, LAWRENCE, KS 66044 USA", "author": [{"given": "Monica A", "dropping-particle": "", "suffix": "", "family": "Geber", "parse-names": false, "non-dropping-particle": ""}, {"given": "Vincent M", "dropping-particle": "", "suffix": "", "family": "Eckhart", "parse-names": false, "non-dropping-particle": ""}], "issued": {"date-parts": [["2005", "3"]]}, "abstract": "Because the range boundary is the locale beyond which a taxon fails to persist, it provides a unique opportunity for studying the limits on adaptive evolution. Adaptive constraints on range expansion are perplexing in view of widespread ecotypic differentiation by habitat and region within a species' range (regional adaptation) and rapid evolutionary response to novel environments. In this study of two parapatric subspecies, Clarkia xantiana ssp. xantiana and C. x. ssp. parviflora, we compared the fitness of population transplants within their native region, in a non-native region within the native range, and in the non-native range to assess whether range expansion might be limited by a greater intensity of selection on colonists of a new range versus a new region within the range. The combined range of the two subspecies spans a west-to-east gradient of declining precipitation in the Sierra Nevada of California, with ssp. xantiana in the west being replaced by ssp. parviflora in the east. Both subspecies had significantly higher fitness in the native range (range adaptation), whereas regional adaptation was weak and was found only in the predominantly outcrossing ssp. xantiana but was absent in the inbreeding ssp. parvifilora. Because selection intensity on transplants was much stronger in the non-native range relative to non-native regions, there is a larger adaptive barrier to range versus regional expansion. Three of five sequential fitness components accounted for regional and range adaptation, but only one of them, survivorship from germination to flowering, contributed to both. Flower number contributed to regional adaptation in ssp. xantiana and fruit set (number of fruits per flower) to range adaptation. Differential survivorship of the two taxa or regional populations of ssp. xantiana in non-native environments was attributable, in part, to biotic interactions, including competition, herbivory, and pollination. For example, low fruit set in ssp. xantiana in the east was likely due to the absence of its principal specialist bee pollinators in ssp. parviflora's range. Thus, convergence on self-fertilization may be necessary for ssp. xantiana to invade ssp. parviflora's range, but the evolution of outcrossing would not be required for ssp. parviflora to invade ssp. xantiana's range.", "ISSN": "0014-3820", "page": "521-531", "volume": "59", "container-title": "Evolution", "title": "Experimental studies of adaptation in Clarkia xantiana: II. Fitness variation across a subspecies border", "PMID": "15856695", "issue": "3", "id": "ITEM-1"}}], "properties": {"noteIndex": 0}, "schema": "https://github.com/citation-style-language/schema/raw/master/csl-citation.json"}</w:instrText>
            </w:r>
            <w:r w:rsidRPr="00F85D3C">
              <w:rPr>
                <w:sz w:val="22"/>
                <w:szCs w:val="22"/>
              </w:rPr>
              <w:fldChar w:fldCharType="separate"/>
            </w:r>
            <w:r w:rsidRPr="00F85D3C">
              <w:rPr>
                <w:noProof/>
                <w:sz w:val="22"/>
                <w:szCs w:val="22"/>
              </w:rPr>
              <w:t>Geber &amp; Eckhart 2005</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Clarkia </w:t>
            </w:r>
            <w:proofErr w:type="spellStart"/>
            <w:r w:rsidRPr="00000AF6">
              <w:rPr>
                <w:i/>
                <w:sz w:val="22"/>
                <w:szCs w:val="22"/>
              </w:rPr>
              <w:t>xantiana</w:t>
            </w:r>
            <w:proofErr w:type="spellEnd"/>
            <w:r w:rsidRPr="00000AF6">
              <w:rPr>
                <w:i/>
                <w:sz w:val="22"/>
                <w:szCs w:val="22"/>
              </w:rPr>
              <w:t xml:space="preserve"> ssp. </w:t>
            </w:r>
            <w:proofErr w:type="spellStart"/>
            <w:r w:rsidRPr="00000AF6">
              <w:rPr>
                <w:i/>
                <w:sz w:val="22"/>
                <w:szCs w:val="22"/>
              </w:rPr>
              <w:t>xantiana</w:t>
            </w:r>
            <w:proofErr w:type="spellEnd"/>
            <w:r w:rsidRPr="00000AF6">
              <w:rPr>
                <w:rFonts w:cs="Arial"/>
                <w:sz w:val="22"/>
                <w:szCs w:val="22"/>
                <w:vertAlign w:val="superscript"/>
              </w:rPr>
              <w:t>‡‡</w:t>
            </w:r>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"(Geber &amp; Eckhart 2005)", "manualFormatting": "Geber &amp; Eckhart 2005"}, "citationItems": [{"uris": ["http://www.mendeley.com/documents/?uuid=b8f70fce-b843-47f8-9f80-4a2660ec7dbc"], "id": "ITEM-1", "itemData": {"publisher": "SOC STUDY EVOLUTION", "DOI": "10.1554/04-265", "type": "article-journal", "publisher-place": "810 E 10TH STREET, LAWRENCE, KS 66044 USA", "author": [{"given": "Monica A", "dropping-particle": "", "suffix": "", "family": "Geber", "parse-names": false, "non-dropping-particle": ""}, {"given": "Vincent M", "dropping-particle": "", "suffix": "", "family": "Eckhart", "parse-names": false, "non-dropping-particle": ""}], "issued": {"date-parts": [["2005", "3"]]}, "abstract": "Because the range boundary is the locale beyond which a taxon fails to persist, it provides a unique opportunity for studying the limits on adaptive evolution. Adaptive constraints on range expansion are perplexing in view of widespread ecotypic differentiation by habitat and region within a species' range (regional adaptation) and rapid evolutionary response to novel environments. In this study of two parapatric subspecies, Clarkia xantiana ssp. xantiana and C. x. ssp. parviflora, we compared the fitness of population transplants within their native region, in a non-native region within the native range, and in the non-native range to assess whether range expansion might be limited by a greater intensity of selection on colonists of a new range versus a new region within the range. The combined range of the two subspecies spans a west-to-east gradient of declining precipitation in the Sierra Nevada of California, with ssp. xantiana in the west being replaced by ssp. parviflora in the east. Both subspecies had significantly higher fitness in the native range (range adaptation), whereas regional adaptation was weak and was found only in the predominantly outcrossing ssp. xantiana but was absent in the inbreeding ssp. parvifilora. Because selection intensity on transplants was much stronger in the non-native range relative to non-native regions, there is a larger adaptive barrier to range versus regional expansion. Three of five sequential fitness components accounted for regional and range adaptation, but only one of them, survivorship from germination to flowering, contributed to both. Flower number contributed to regional adaptation in ssp. xantiana and fruit set (number of fruits per flower) to range adaptation. Differential survivorship of the two taxa or regional populations of ssp. xantiana in non-native environments was attributable, in part, to biotic interactions, including competition, herbivory, and pollination. For example, low fruit set in ssp. xantiana in the east was likely due to the absence of its principal specialist bee pollinators in ssp. parviflora's range. Thus, convergence on self-fertilization may be necessary for ssp. xantiana to invade ssp. parviflora's range, but the evolution of outcrossing would not be required for ssp. parviflora to invade ssp. xantiana's range.", "ISSN": "0014-3820", "page": "521-531", "volume": "59", "container-title": "Evolution", "title": "Experimental studies of adaptation in Clarkia xantiana: II. Fitness variation across a subspecies border", "PMID": "15856695", "issue": "3", "id": "ITEM-1"}}], "properties": {"noteIndex": 0}, "schema": "https://github.com/citation-style-language/schema/raw/master/csl-citation.json"}</w:instrText>
            </w:r>
            <w:r w:rsidRPr="00F85D3C">
              <w:rPr>
                <w:sz w:val="22"/>
                <w:szCs w:val="22"/>
              </w:rPr>
              <w:fldChar w:fldCharType="separate"/>
            </w:r>
            <w:r w:rsidRPr="00F85D3C">
              <w:rPr>
                <w:noProof/>
                <w:sz w:val="22"/>
                <w:szCs w:val="22"/>
              </w:rPr>
              <w:t>Geber &amp; Eckhart 2005</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Digitalis </w:t>
            </w:r>
            <w:proofErr w:type="spellStart"/>
            <w:r w:rsidRPr="00000AF6">
              <w:rPr>
                <w:i/>
                <w:sz w:val="22"/>
                <w:szCs w:val="22"/>
              </w:rPr>
              <w:t>purpurea</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"(Bruelheide &amp; Heinemeyer 2002)", "manualFormatting": "Bruelheide &amp; Heinemeyer 2002"}, "citationItems": [{"uris": ["http://www.mendeley.com/documents/?uuid=10784a73-f98c-4396-be18-3183c87e2e42"], "id": "ITEM-1", "itemData": {"publisher": "ELSEVIER GMBH, URBAN &amp; FISCHER VERLAG", "DOI": "10.1078/0367-2530-00064", "type": "article-journal", "publisher-place": "OFFICE JENA, P O BOX 100537, 07705 JENA, GERMANY", "author": [{"given": "Helge", "dropping-particle": "", "suffix": "", "family": "Bruelheide", "parse-names": false, "non-dropping-particle": ""}, {"given": "Andreas", "dropping-particle": "", "suffix": "", "family": "Heinemeyer", "parse-names": false, "non-dropping-particle": ""}], "issued": {"date-parts": [["2002"]]}, "abstract": "Digitalis purpurea was studied as a representative of a plant species with subatlantic geographical distribution in Central Germany with the objective of identifying the underlying climatic causes of the species' eastern distribution boundary. A transplantation experiment with 1-year-old plants and seeds was performed along a ca. 100 km west-east transect across the regional distribution boundary in northwest Thuringia and along an altitudinal transect from 380 m to H 30 m a.s.l. in the Harz Mountains. Continuous measurements of air temperatures below rosette leaves confirmed a clear gradient of increasing mean temperatures with decreasing elevation and, with the exception of one field site, from west to east. Biometrical measurements of the transplants and the survival rate of seedlings generally matched the temperature gradients. Photosynthesis measurements along the elevational transect showed that differences in growth between altitudes were reflected in differences of temperature optima of net assimilation. Seedling mortality was highest in winter at the highest and at the easternmost plot. Although this should be a clear indication of frost sensitivity, there was no satisfactory correlation with absolute minimum temperatures below the rosettes, which exhibited a range between -4.1degreesC and -9.2degreesC. Frost tolerance experiments were carried out in a freeze chamber at the end of the winter. Significant damage to leaves was found at -12degreesC or below; whereas the threshold for buds and roots was -15degreesC and -18degreesC, respectively. Although frost events of this magnitude were not observed below the rosettes during the period of investigation, mainly because of snow cover, they occur regularly in the study area. In addition to the winter conditions, summer drought was found to have a strong influence on growth of adult plants at the eastern sites. This was confirmed by a manipulative experiment with additional watering. Transpiration experiments also showed a strong water deficit in unwatered plants in the east. The general conclusion from the study is that frost events in winter, which mainly affect the survival of seedlings, combined with summer drought periods, which mainly limit growth of adults, explain the eastern distribution boundary of Digitalis purpurea.", "ISSN": "0367-2530", "page": "475-490", "volume": "197", "container-title": "Flora", "title": "Climatic factors controlling the eastern and altitudinal distribution boundary of Digitalis purpurea L. in Germany", "issue": "6", "id": "ITEM-1"}}], "properties": {"noteIndex": 0}, "schema": "https://github.com/citation-style-language/schema/raw/master/csl-citation.json"}</w:instrText>
            </w:r>
            <w:r w:rsidRPr="00F85D3C">
              <w:rPr>
                <w:sz w:val="22"/>
                <w:szCs w:val="22"/>
              </w:rPr>
              <w:fldChar w:fldCharType="separate"/>
            </w:r>
            <w:r w:rsidRPr="00F85D3C">
              <w:rPr>
                <w:noProof/>
                <w:sz w:val="22"/>
                <w:szCs w:val="22"/>
              </w:rPr>
              <w:t>Bruelheide &amp; Heinemeyer 2002</w:t>
            </w:r>
            <w:r w:rsidRPr="00F85D3C">
              <w:rPr>
                <w:sz w:val="22"/>
                <w:szCs w:val="22"/>
              </w:rPr>
              <w:fldChar w:fldCharType="end"/>
            </w:r>
          </w:p>
        </w:tc>
        <w:tc>
          <w:tcPr>
            <w:tcW w:w="944" w:type="dxa"/>
          </w:tcPr>
          <w:p w:rsidR="00F461E0" w:rsidRPr="00F85D3C" w:rsidRDefault="00F461E0" w:rsidP="00E64A04">
            <w:pPr>
              <w:rPr>
                <w:sz w:val="22"/>
                <w:szCs w:val="22"/>
              </w:rPr>
            </w:pPr>
            <w:r>
              <w:rPr>
                <w:sz w:val="22"/>
                <w:szCs w:val="22"/>
              </w:rPr>
              <w:t>+</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Euphorbia </w:t>
            </w:r>
            <w:proofErr w:type="spellStart"/>
            <w:r w:rsidRPr="00000AF6">
              <w:rPr>
                <w:i/>
                <w:sz w:val="22"/>
                <w:szCs w:val="22"/>
              </w:rPr>
              <w:t>amygdaloides</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"(Schulz &amp; Bruelheide 1999)", "manualFormatting": "Schulz &amp; Bruelheide 1999"}, "citationItems": [{"uris": ["http://www.mendeley.com/documents/?uuid=737696b6-428c-4a9a-9bf6-83e076d9891a"], "id": "ITEM-1", "itemData": {"collection-title": "MONTE VERITA : PROCEEDINGS OF THE CENTRO STEFANO FRANSCINI ASCONA", "ISBN": "3-7643-6086-0", "author": [{"given": "C", "dropping-particle": "", "suffix": "", "family": "Schulz", "parse-names": false, "non-dropping-particle": ""}, {"given": "Helge", "dropping-particle": "", "suffix": "", "family": "Bruelheide", "parse-names": false, "non-dropping-particle": ""}], "issued": {"date-parts": [["1999"]]}, "title": "An experimental study on the impact of winter temperature on the distribution of Euphorbia amygdaloides L. in Central Germany", "page": "121-150", "note": "Conference on Recent Shifts in Vegetation Boundaries of Deciduous\nForests, Especially Due to General Global Warming, ASCONA, SWITZERLAND, \n,", "editor": [{"given": "GR", "dropping-particle": "", "suffix": "", "family": "Klotzli, F and Walther", "parse-names": false, "non-dropping-particle": ""}], "container-title": "Conference on Recent Shifts in Vegetation Boundaries of Deciduous Forests", "type": "paper-conference", "id": "ITEM-1"}}], "properties": {"noteIndex": 0}, "schema": "https://github.com/citation-style-language/schema/raw/master/csl-citation.json"}</w:instrText>
            </w:r>
            <w:r w:rsidRPr="00F85D3C">
              <w:rPr>
                <w:sz w:val="22"/>
                <w:szCs w:val="22"/>
              </w:rPr>
              <w:fldChar w:fldCharType="separate"/>
            </w:r>
            <w:r w:rsidRPr="00F85D3C">
              <w:rPr>
                <w:noProof/>
                <w:sz w:val="22"/>
                <w:szCs w:val="22"/>
              </w:rPr>
              <w:t>Schulz &amp; Bruelheide 1999</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Gilia </w:t>
            </w:r>
            <w:proofErr w:type="spellStart"/>
            <w:r w:rsidRPr="00000AF6">
              <w:rPr>
                <w:i/>
                <w:sz w:val="22"/>
                <w:szCs w:val="22"/>
              </w:rPr>
              <w:t>capitata</w:t>
            </w:r>
            <w:proofErr w:type="spellEnd"/>
            <w:r w:rsidRPr="00000AF6">
              <w:rPr>
                <w:i/>
                <w:sz w:val="22"/>
                <w:szCs w:val="22"/>
              </w:rPr>
              <w:t xml:space="preserve"> ssp. </w:t>
            </w:r>
            <w:proofErr w:type="spellStart"/>
            <w:r w:rsidRPr="00000AF6">
              <w:rPr>
                <w:i/>
                <w:sz w:val="22"/>
                <w:szCs w:val="22"/>
              </w:rPr>
              <w:t>capitata</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"(Nagy &amp; Rice 1997)", "manualFormatting": "Nagy &amp; Rice 1997"}, "citationItems": [{"uris": ["http://www.mendeley.com/documents/?uuid=d2ed6b58-396e-4171-9238-5d8c5a65e0fd"], "id": "ITEM-1", "itemData": {"DOI": "10.2307/2411037", "type": "article-journal", "author": [{"given": "Eric S", "dropping-particle": "", "suffix": "", "family": "Nagy", "parse-names": false, "non-dropping-particle": ""}, {"given": "Kevin J", "dropping-particle": "", "suffix": "", "family": "Rice", "parse-names": false, "non-dropping-particle": ""}], "issued": {"date-parts": [["1997", "8"]]}, "abstract": "Plant populations often adapt to local environmental conditions. Here we demonstrate local adaptation in two subspecies of the California native annual Gilia capitata using standard reciprocal transplant techniques in two sites (coastal and inland) over three consecutive years. Subspecies performance in each site was measured in four ways: probability of seedling emergence, early vegetative size (length of longest leaf), probability of flowering, and total number of inflorescences produced per plant. Analysis of three of the four variables demonstrated local adaptation through site-by-subspecies interactions in which natives outperformed immigrants. The disparity between natives and immigrants in their probability of emergence and probability of flowering was greater at the coastal site than at the inland site. Treated in isolation, these two fitness components suggest that migration from the coast to the inland site may be less restricted by selection than migration in the opposite direction. Two measurements of individual size (leaf length and number of inflorescences), suggest (though not strongly) that immigrants may be subject to weaker selection at the coastal site than at the inland site. A standard cohort life table is used to compare replacement rates (R-0) for each subspecies at each site. Comparisons of R(0)s suggest that immigrants are under a severe demographic disadvantage at the coastal site, but only a small disadvantage at the inland site. The results point out the importance of integrating over several fitness components when documenting the magnitude of local adaptation.", "ISSN": "0014-3820", "page": "1079-1089", "volume": "51", "container-title": "Evolution", "title": "Local adaptation in two subspecies of an annual plant: Implications for migration and gene flow", "issue": "4", "id": "ITEM-1"}}], "properties": {"noteIndex": 0}, "schema": "https://github.com/citation-style-language/schema/raw/master/csl-citation.json"}</w:instrText>
            </w:r>
            <w:r w:rsidRPr="00F85D3C">
              <w:rPr>
                <w:sz w:val="22"/>
                <w:szCs w:val="22"/>
              </w:rPr>
              <w:fldChar w:fldCharType="separate"/>
            </w:r>
            <w:r w:rsidRPr="00F85D3C">
              <w:rPr>
                <w:noProof/>
                <w:sz w:val="22"/>
                <w:szCs w:val="22"/>
              </w:rPr>
              <w:t>Nagy &amp; Rice 1997</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Lactuca</w:t>
            </w:r>
            <w:proofErr w:type="spellEnd"/>
            <w:r w:rsidRPr="00000AF6">
              <w:rPr>
                <w:i/>
                <w:sz w:val="22"/>
                <w:szCs w:val="22"/>
              </w:rPr>
              <w:t xml:space="preserve"> </w:t>
            </w:r>
          </w:p>
          <w:p w:rsidR="00F461E0" w:rsidRPr="00000AF6" w:rsidRDefault="00F461E0" w:rsidP="00E64A04">
            <w:pPr>
              <w:rPr>
                <w:i/>
                <w:sz w:val="22"/>
                <w:szCs w:val="22"/>
              </w:rPr>
            </w:pPr>
            <w:proofErr w:type="spellStart"/>
            <w:r w:rsidRPr="00000AF6">
              <w:rPr>
                <w:i/>
                <w:sz w:val="22"/>
                <w:szCs w:val="22"/>
              </w:rPr>
              <w:t>serriola</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"(Prince &amp; Carter 1985)", "manualFormatting": "Prince &amp; Carter 1985"}, "citationItems": [{"uris": ["http://www.mendeley.com/documents/?uuid=a724c65a-48dc-4239-a9d9-d8980fcc08ed"], "id": "ITEM-1", "itemData": {"type": "article-journal", "author": [{"given": "S D", "dropping-particle": "", "suffix": "", "family": "Prince", "parse-names": false, "non-dropping-particle": ""}, {"given": "R N", "dropping-particle": "", "suffix": "", "family": "Carter", "parse-names": false, "non-dropping-particle": ""}], "issued": {"date-parts": [["1985"]]}, "title": "The Geographical Distribution of Prickly Lettuce ( Lactuca Serriola ): III . Its Performance in Transplant Sites Beyond its Distribution Limit in Britain", "page": "49-64", "volume": "73", "container-title": "Journal of Ecology", "issue": "1", "id": "ITEM-1"}}], "properties": {"noteIndex": 0}, "schema": "https://github.com/citation-style-language/schema/raw/master/csl-citation.json"}</w:instrText>
            </w:r>
            <w:r w:rsidRPr="00F85D3C">
              <w:rPr>
                <w:sz w:val="22"/>
                <w:szCs w:val="22"/>
              </w:rPr>
              <w:fldChar w:fldCharType="separate"/>
            </w:r>
            <w:r w:rsidRPr="00F85D3C">
              <w:rPr>
                <w:noProof/>
                <w:sz w:val="22"/>
                <w:szCs w:val="22"/>
              </w:rPr>
              <w:t>Prince &amp; Carter 1985</w:t>
            </w:r>
            <w:r w:rsidRPr="00F85D3C">
              <w:rPr>
                <w:sz w:val="22"/>
                <w:szCs w:val="22"/>
              </w:rPr>
              <w:fldChar w:fldCharType="end"/>
            </w:r>
          </w:p>
        </w:tc>
        <w:tc>
          <w:tcPr>
            <w:tcW w:w="944" w:type="dxa"/>
          </w:tcPr>
          <w:p w:rsidR="00F461E0" w:rsidRPr="00F85D3C" w:rsidRDefault="00F461E0" w:rsidP="00E64A04">
            <w:pPr>
              <w:rPr>
                <w:sz w:val="22"/>
                <w:szCs w:val="22"/>
              </w:rPr>
            </w:pPr>
            <w:r>
              <w:rPr>
                <w:sz w:val="22"/>
                <w:szCs w:val="22"/>
              </w:rPr>
              <w:t>+</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Lipoptena</w:t>
            </w:r>
            <w:proofErr w:type="spellEnd"/>
          </w:p>
          <w:p w:rsidR="00F461E0" w:rsidRPr="00000AF6" w:rsidRDefault="00F461E0" w:rsidP="00E64A04">
            <w:pPr>
              <w:rPr>
                <w:i/>
                <w:sz w:val="22"/>
                <w:szCs w:val="22"/>
              </w:rPr>
            </w:pPr>
            <w:proofErr w:type="spellStart"/>
            <w:r w:rsidRPr="00000AF6">
              <w:rPr>
                <w:i/>
                <w:sz w:val="22"/>
                <w:szCs w:val="22"/>
              </w:rPr>
              <w:t>cervi</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"(H\u00e4rk\u00f6nen &lt;i&gt;et al.&lt;/i&gt; 2010)", "manualFormatting": "H\u00e4rk\u00f6nen et al. 2010"}, "citationItems": [{"uris": ["http://www.mendeley.com/documents/?uuid=b403e60d-86d5-4c05-92e1-3f9896a06efa"], "id": "ITEM-1", "itemData": {"volume": "33", "publisher": "WILEY-BLACKWELL PUBLISHING, INC", "DOI": "10.1111/j.1600-0587.2009.05890.x", "type": "article-journal", "publisher-place": "COMMERCE PLACE, 350 MAIN ST, MALDEN 02148, MA USA", "author": [{"given": "Laura", "dropping-particle": "", "suffix": "", "family": "H\u00e4rk\u00f6nen", "parse-names": false, "non-dropping-particle": ""}, {"given": "Sauli", "dropping-particle": "", "suffix": "", "family": "H\u00e4rk\u00f6nen", "parse-names": false, "non-dropping-particle": ""}, {"given": "Arja", "dropping-particle": "", "suffix": "", "family": "Kaitala", "parse-names": false, "non-dropping-particle": ""}, {"given": "Sirpa", "dropping-particle": "", "suffix": "", "family": "Kaunisto", "parse-names": false, "non-dropping-particle": ""}, {"given": "Raine", "dropping-particle": "", "suffix": "", "family": "Kortet", "parse-names": false, "non-dropping-particle": ""}, {"given": "Sauli", "dropping-particle": "", "suffix": "", "family": "Laaksonen", "parse-names": false, "non-dropping-particle": ""}, {"given": "Hannu", "dropping-particle": "", "suffix": "", "family": "Yl\u00f6nen", "parse-names": false, "non-dropping-particle": ""}], "issued": {"date-parts": [["2010", "10", "9"]]}, "abstract": "The range expansion of organisms towards higher latitudes and altitudes is often limited by colder temperatures and the shorter growth season. In parasites, survival outside the host is most likely to affect their potential establishment in novel environments. We conducted a large scale transplant experiment to predict the potential spread of the deer ked Lipoptena cervi (Diptera: Hippoboscidae), a blood-feeding ectoparasite of boreal cervids. We studied the off-host survival and pupal development of deer ked in five sites along a latitudinal gradient reaching from its current range in central Finland to northernmost Fennoscandia. We showed that the deer ked is able to survive and complete its development even in arctic environments, 500 km northwards beyond the current range. Performance deteriorated steadily towards north, where lower summer temperatures prolonged the developmental period and shortened the suitable host search time by several weeks. The relevance of the experiments for estimating the spread of deer ked to the north is discussed.", "ISSN": "0906-7590", "page": "906-912", "note": "        \n\n        \n\n        From Duplicate 2 ( \n        \n\n        \n\n        \n\n        \n\n        \n\n        \n\n        \n\n        \n\n        \n\n        \n\n        \n\n        \n\n        \n\n        \n\n        \n\n        \n\n        \n\n        \n\n        \n\n        \n\n        \n\n        \n\n        \n\n        \n\n        \n\n        \n\n        \n\n        \n\n        \n\n        \n\n        \n\n        \n\n        \n\n        \n\n        \n\n        \n\n        \n\n        \n\n        \n\n        \n\n        \n\n        \n\n        \n\n        \n\n        \n\n        \n\n        \n\n        \n\n        \n\n        \n\n        \n\n        \n\n        \n\n        \n\n        \n\n        \n          \n\n          \n\n          \n\n          \n\n          \n\n          \n\n          \n\n          \n\n          \n\n          \n\n          \n\n          \n\n          \n\n          \n\n          \n\n          \n\n          \n\n          \n\n          \n\n          \n\n          \n\n          \n\n          \n\n          \n\n          \n\n          \n\n          \n\n          \n\n          \n\n          \n\n          \n\n        \n        \n\n        \n\n        \n\n        \n\n        \n\n        \n\n        \n\n        \n          \n\n          \n\n          \n\n          \n\n          \n\n          \n\n          \n\n        \n        \n\n        \n\n        \n\n        \n          \n\n          \n\n          \n\n        \n        \n          Predicting range expansion of an ectoparasite - the effect of spring and summer temperatures on deer ked Lipoptena cervi (Diptera: Hippoboscidae) performance along a latitudinal gradient\n        \n        \n          \n\n          \n\n          \n\n        \n        \n\n        \n\n        \n\n        \n          \n\n          \n\n          \n\n          \n\n          \n\n          \n\n          \n\n        \n        \n\n        \n\n        \n\n        \n\n        \n\n        \n\n        \n\n        \n          \n\n          \n\n          \n\n          \n\n          \n\n          \n\n          \n\n          \n\n          \n\n          \n\n          \n\n          \n\n          \n\n          \n\n          \n\n          \n\n          \n\n          \n\n          \n\n          \n\n          \n\n          \n\n          \n\n          \n\n          \n\n          \n\n          \n\n          \n\n          \n\n          \n\n          \n\n        \n        \n\n        \n\n        \n\n        \n\n        \n\n        \n\n        \n\n        \n\n        \n\n        \n\n        \n\n        \n\n        \n\n        \n\n        \n\n        \n\n        \n\n        \n\n        \n\n        \n\n        \n\n        \n\n        \n\n        \n\n        \n\n        \n\n        \n\n        \n\n        \n\n        \n\n        \n\n        \n\n        \n\n        \n\n        \n\n        \n\n        \n\n        \n\n        \n\n        \n\n        \n\n        \n\n        \n\n        \n\n        \n\n        \n\n        \n\n        \n\n        \n\n        \n\n        \n\n        \n\n        \n\n        \n\n        \n\n        - H\u00e4rk\u00f6nen, Laura; H\u00e4rk\u00f6nen, Sauli; Kaitala, Arja; Kaunisto, Sirpa; Kortet, Raine; Laaksonen, Sauli; Yl\u00f6nen, Hannu )\n\n          \n\n          \n\n          \n\n          \n\n          \n\n          \n\n          \n\n          \n\n          \n\n          \n\n          \n\n          \n\n          \n\n          \n\n          \n\n          \n\n          \n\n          \n\n          \n\n          \n\n          \n\n          \n\n          \n\n          \n\n          \n\n          \n\n          \n\n          \n\n          \n\n          \n\n          \n\n        \n        \n\n        \n\n        \n\n      ", "container-title": "Ecography", "title": "Predicting range expansion of an ectoparasite - the effect of spring and summer temperatures on deer ked Lipoptena cervi (Diptera: Hippoboscidae) performance along a latitudinal gradient", "issue": "5", "id": "ITEM-1"}}], "properties": {"noteIndex": 0}, "schema": "https://github.com/citation-style-language/schema/raw/master/csl-citation.json"}</w:instrText>
            </w:r>
            <w:r w:rsidRPr="00F85D3C">
              <w:rPr>
                <w:sz w:val="22"/>
                <w:szCs w:val="22"/>
              </w:rPr>
              <w:fldChar w:fldCharType="separate"/>
            </w:r>
            <w:r w:rsidRPr="00F85D3C">
              <w:rPr>
                <w:noProof/>
                <w:sz w:val="22"/>
                <w:szCs w:val="22"/>
              </w:rPr>
              <w:t>Härkönen et al. 2010</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Lomatium</w:t>
            </w:r>
            <w:proofErr w:type="spellEnd"/>
            <w:r w:rsidRPr="00000AF6">
              <w:rPr>
                <w:i/>
                <w:sz w:val="22"/>
                <w:szCs w:val="22"/>
              </w:rPr>
              <w:t xml:space="preserve"> </w:t>
            </w:r>
            <w:proofErr w:type="spellStart"/>
            <w:r w:rsidRPr="00000AF6">
              <w:rPr>
                <w:i/>
                <w:sz w:val="22"/>
                <w:szCs w:val="22"/>
              </w:rPr>
              <w:t>dissectum</w:t>
            </w:r>
            <w:proofErr w:type="spellEnd"/>
            <w:r w:rsidRPr="00000AF6">
              <w:rPr>
                <w:i/>
                <w:sz w:val="22"/>
                <w:szCs w:val="22"/>
              </w:rPr>
              <w:t xml:space="preserve"> var. </w:t>
            </w:r>
            <w:proofErr w:type="spellStart"/>
            <w:r w:rsidRPr="00000AF6">
              <w:rPr>
                <w:i/>
                <w:sz w:val="22"/>
                <w:szCs w:val="22"/>
              </w:rPr>
              <w:lastRenderedPageBreak/>
              <w:t>dissectum</w:t>
            </w:r>
            <w:proofErr w:type="spellEnd"/>
          </w:p>
        </w:tc>
        <w:tc>
          <w:tcPr>
            <w:tcW w:w="1466" w:type="dxa"/>
          </w:tcPr>
          <w:p w:rsidR="00F461E0" w:rsidRPr="00000AF6" w:rsidRDefault="00F461E0" w:rsidP="00E64A04">
            <w:pPr>
              <w:rPr>
                <w:sz w:val="22"/>
                <w:szCs w:val="22"/>
              </w:rPr>
            </w:pPr>
            <w:r w:rsidRPr="00000AF6">
              <w:rPr>
                <w:sz w:val="22"/>
                <w:szCs w:val="22"/>
              </w:rPr>
              <w:lastRenderedPageBreak/>
              <w:fldChar w:fldCharType="begin"/>
            </w:r>
            <w:r w:rsidRPr="00000AF6">
              <w:rPr>
                <w:sz w:val="22"/>
                <w:szCs w:val="22"/>
              </w:rPr>
              <w:instrText>ADDIN CSL_CITATION {"mendeley": {"previouslyFormattedCitation": "(Marsico &amp; Hellmann 2009)", "manualFormatting": "Marsico &amp; Hellmann 2009"}, "citationItems": [{"uris": ["http://www.mendeley.com/documents/?uuid=3a83a614-b4e2-4a0b-bccd-753827ffbe2e"], "id": "ITEM-1", "itemData": {"DOI": "10.1111/j.1600-0706.2009.17698.x", "type": "article-journal", "author": [{"given": "Travis D", "dropping-particle": "", "suffix": "", "family": "Marsico", "parse-names": false, "non-dropping-particle": ""}, {"given": "Jessica J", "dropping-particle": "", "suffix": "", "family": "Hellmann", "parse-names": false, "non-dropping-particle": ""}], "issued": {"date-parts": [["2009", "12"]]}, "abstract": "Determining limitations on poleward range expansion is important for predicting how climate change will alter the distribution of species. For most species, it is not known what factors set their distributional limits and the role dispersal limitation might play if range-limiting factors were altered. We conducted a transplant study of three related and co-occurring Lomatium species at their northern range limits to test competing hypotheses of range limitation. We added seeds to experimental plots inside and outside the species' geographic range (a regional treatment) in a replicated design with vegetation intact and vegetation reduced (a disturbance treatment) and with herbivore access and herbivore exclusion (an herbivory treatment). Germination and reemergence were measured through two growing seasons, along with community-level variables. A fully-crossed linear mixed model revealed that Lomatium survivorship outside the current range was as good or better than survivorship within the range, at least when the vegetative community remained intact. This suggests that the species are dispersal limited. Germination often was improved in the presence of an intact vegetative community, but this potentially facilitative effect was absent in second-year reemergence. Plots exposed to herbivory had slightly, but significantly, reduced germination, though reemergence did not differ between herbivore treatments. Lomatium dissectum, a rare species, had significantly lower survivorship than its congeners, suggesting that range shifts in rare taxa may be particularly difficult. Seed additions beyond species' range limits may be a strategy for overcoming dispersal limitation and assisting species in poleward migrations.", "ISSN": "0030-1299", "page": "1783-1792", "volume": "118", "container-title": "Oikos", "title": "Dispersal limitation inferred from an experimental translocation of Lomatium (Apiaceae) species outside their geographic ranges", "issue": "12", "id": "ITEM-1"}}], "properties": {"noteIndex": 0}, "schema": "https://github.com/citation-style-language/schema/raw/master/csl-citation.json"}</w:instrText>
            </w:r>
            <w:r w:rsidRPr="00000AF6">
              <w:rPr>
                <w:sz w:val="22"/>
                <w:szCs w:val="22"/>
              </w:rPr>
              <w:fldChar w:fldCharType="separate"/>
            </w:r>
            <w:r w:rsidRPr="00000AF6">
              <w:rPr>
                <w:noProof/>
                <w:sz w:val="22"/>
                <w:szCs w:val="22"/>
              </w:rPr>
              <w:t xml:space="preserve">Marsico &amp; Hellmann </w:t>
            </w:r>
            <w:r w:rsidRPr="00000AF6">
              <w:rPr>
                <w:noProof/>
                <w:sz w:val="22"/>
                <w:szCs w:val="22"/>
              </w:rPr>
              <w:lastRenderedPageBreak/>
              <w:t>2009</w:t>
            </w:r>
            <w:r w:rsidRPr="00000AF6">
              <w:rPr>
                <w:sz w:val="22"/>
                <w:szCs w:val="22"/>
              </w:rPr>
              <w:fldChar w:fldCharType="end"/>
            </w:r>
          </w:p>
        </w:tc>
        <w:tc>
          <w:tcPr>
            <w:tcW w:w="944" w:type="dxa"/>
          </w:tcPr>
          <w:p w:rsidR="00F461E0" w:rsidRPr="00000AF6" w:rsidRDefault="00F461E0" w:rsidP="00E64A04">
            <w:pPr>
              <w:rPr>
                <w:sz w:val="22"/>
                <w:szCs w:val="22"/>
              </w:rPr>
            </w:pPr>
            <w:r w:rsidRPr="00000AF6">
              <w:rPr>
                <w:sz w:val="22"/>
                <w:szCs w:val="22"/>
              </w:rPr>
              <w:lastRenderedPageBreak/>
              <w:t>-</w:t>
            </w:r>
          </w:p>
        </w:tc>
        <w:tc>
          <w:tcPr>
            <w:tcW w:w="1151" w:type="dxa"/>
          </w:tcPr>
          <w:p w:rsidR="00F461E0" w:rsidRPr="00000AF6" w:rsidRDefault="00F461E0" w:rsidP="00E64A04">
            <w:pPr>
              <w:rPr>
                <w:bCs/>
                <w:sz w:val="22"/>
                <w:szCs w:val="22"/>
              </w:rPr>
            </w:pPr>
            <w:r w:rsidRPr="00000AF6">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Lomatium</w:t>
            </w:r>
            <w:proofErr w:type="spellEnd"/>
            <w:r w:rsidRPr="00000AF6">
              <w:rPr>
                <w:i/>
                <w:sz w:val="22"/>
                <w:szCs w:val="22"/>
              </w:rPr>
              <w:t xml:space="preserve"> </w:t>
            </w:r>
            <w:proofErr w:type="spellStart"/>
            <w:r w:rsidRPr="00000AF6">
              <w:rPr>
                <w:i/>
                <w:sz w:val="22"/>
                <w:szCs w:val="22"/>
              </w:rPr>
              <w:t>nudicaule</w:t>
            </w:r>
            <w:proofErr w:type="spellEnd"/>
          </w:p>
        </w:tc>
        <w:tc>
          <w:tcPr>
            <w:tcW w:w="1466" w:type="dxa"/>
          </w:tcPr>
          <w:p w:rsidR="00F461E0" w:rsidRPr="00000AF6" w:rsidRDefault="00F461E0" w:rsidP="00E64A04">
            <w:pPr>
              <w:rPr>
                <w:sz w:val="22"/>
                <w:szCs w:val="22"/>
              </w:rPr>
            </w:pPr>
            <w:r w:rsidRPr="00000AF6">
              <w:rPr>
                <w:sz w:val="22"/>
                <w:szCs w:val="22"/>
              </w:rPr>
              <w:fldChar w:fldCharType="begin"/>
            </w:r>
            <w:r w:rsidRPr="00000AF6">
              <w:rPr>
                <w:sz w:val="22"/>
                <w:szCs w:val="22"/>
              </w:rPr>
              <w:instrText>ADDIN CSL_CITATION {"mendeley": {"previouslyFormattedCitation": "(Marsico &amp; Hellmann 2009)", "manualFormatting": "Marsico &amp; Hellmann 2009"}, "citationItems": [{"uris": ["http://www.mendeley.com/documents/?uuid=3a83a614-b4e2-4a0b-bccd-753827ffbe2e"], "id": "ITEM-1", "itemData": {"DOI": "10.1111/j.1600-0706.2009.17698.x", "type": "article-journal", "author": [{"given": "Travis D", "dropping-particle": "", "suffix": "", "family": "Marsico", "parse-names": false, "non-dropping-particle": ""}, {"given": "Jessica J", "dropping-particle": "", "suffix": "", "family": "Hellmann", "parse-names": false, "non-dropping-particle": ""}], "issued": {"date-parts": [["2009", "12"]]}, "abstract": "Determining limitations on poleward range expansion is important for predicting how climate change will alter the distribution of species. For most species, it is not known what factors set their distributional limits and the role dispersal limitation might play if range-limiting factors were altered. We conducted a transplant study of three related and co-occurring Lomatium species at their northern range limits to test competing hypotheses of range limitation. We added seeds to experimental plots inside and outside the species' geographic range (a regional treatment) in a replicated design with vegetation intact and vegetation reduced (a disturbance treatment) and with herbivore access and herbivore exclusion (an herbivory treatment). Germination and reemergence were measured through two growing seasons, along with community-level variables. A fully-crossed linear mixed model revealed that Lomatium survivorship outside the current range was as good or better than survivorship within the range, at least when the vegetative community remained intact. This suggests that the species are dispersal limited. Germination often was improved in the presence of an intact vegetative community, but this potentially facilitative effect was absent in second-year reemergence. Plots exposed to herbivory had slightly, but significantly, reduced germination, though reemergence did not differ between herbivore treatments. Lomatium dissectum, a rare species, had significantly lower survivorship than its congeners, suggesting that range shifts in rare taxa may be particularly difficult. Seed additions beyond species' range limits may be a strategy for overcoming dispersal limitation and assisting species in poleward migrations.", "ISSN": "0030-1299", "page": "1783-1792", "volume": "118", "container-title": "Oikos", "title": "Dispersal limitation inferred from an experimental translocation of Lomatium (Apiaceae) species outside their geographic ranges", "issue": "12", "id": "ITEM-1"}}], "properties": {"noteIndex": 0}, "schema": "https://github.com/citation-style-language/schema/raw/master/csl-citation.json"}</w:instrText>
            </w:r>
            <w:r w:rsidRPr="00000AF6">
              <w:rPr>
                <w:sz w:val="22"/>
                <w:szCs w:val="22"/>
              </w:rPr>
              <w:fldChar w:fldCharType="separate"/>
            </w:r>
            <w:r w:rsidRPr="00000AF6">
              <w:rPr>
                <w:noProof/>
                <w:sz w:val="22"/>
                <w:szCs w:val="22"/>
              </w:rPr>
              <w:t>Marsico &amp; Hellmann 2009</w:t>
            </w:r>
            <w:r w:rsidRPr="00000AF6">
              <w:rPr>
                <w:sz w:val="22"/>
                <w:szCs w:val="22"/>
              </w:rPr>
              <w:fldChar w:fldCharType="end"/>
            </w:r>
          </w:p>
        </w:tc>
        <w:tc>
          <w:tcPr>
            <w:tcW w:w="944" w:type="dxa"/>
          </w:tcPr>
          <w:p w:rsidR="00F461E0" w:rsidRPr="00000AF6" w:rsidRDefault="00F461E0" w:rsidP="00E64A04">
            <w:pPr>
              <w:rPr>
                <w:sz w:val="22"/>
                <w:szCs w:val="22"/>
              </w:rPr>
            </w:pPr>
            <w:r w:rsidRPr="00000AF6">
              <w:rPr>
                <w:sz w:val="22"/>
                <w:szCs w:val="22"/>
              </w:rPr>
              <w:t>+</w:t>
            </w:r>
          </w:p>
        </w:tc>
        <w:tc>
          <w:tcPr>
            <w:tcW w:w="1151" w:type="dxa"/>
          </w:tcPr>
          <w:p w:rsidR="00F461E0" w:rsidRPr="00000AF6" w:rsidRDefault="00F461E0" w:rsidP="00E64A04">
            <w:pPr>
              <w:rPr>
                <w:bCs/>
                <w:sz w:val="22"/>
                <w:szCs w:val="22"/>
              </w:rPr>
            </w:pPr>
            <w:r w:rsidRPr="00000AF6">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Lomatium</w:t>
            </w:r>
            <w:proofErr w:type="spellEnd"/>
            <w:r w:rsidRPr="00000AF6">
              <w:rPr>
                <w:i/>
                <w:sz w:val="22"/>
                <w:szCs w:val="22"/>
              </w:rPr>
              <w:t xml:space="preserve"> </w:t>
            </w:r>
            <w:proofErr w:type="spellStart"/>
            <w:r w:rsidRPr="00000AF6">
              <w:rPr>
                <w:i/>
                <w:sz w:val="22"/>
                <w:szCs w:val="22"/>
              </w:rPr>
              <w:t>utricularium</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"(Marsico &amp; Hellmann 2009)", "manualFormatting": "Marsico &amp; Hellmann 2009"}, "citationItems": [{"uris": ["http://www.mendeley.com/documents/?uuid=3a83a614-b4e2-4a0b-bccd-753827ffbe2e"], "id": "ITEM-1", "itemData": {"DOI": "10.1111/j.1600-0706.2009.17698.x", "type": "article-journal", "author": [{"given": "Travis D", "dropping-particle": "", "suffix": "", "family": "Marsico", "parse-names": false, "non-dropping-particle": ""}, {"given": "Jessica J", "dropping-particle": "", "suffix": "", "family": "Hellmann", "parse-names": false, "non-dropping-particle": ""}], "issued": {"date-parts": [["2009", "12"]]}, "abstract": "Determining limitations on poleward range expansion is important for predicting how climate change will alter the distribution of species. For most species, it is not known what factors set their distributional limits and the role dispersal limitation might play if range-limiting factors were altered. We conducted a transplant study of three related and co-occurring Lomatium species at their northern range limits to test competing hypotheses of range limitation. We added seeds to experimental plots inside and outside the species' geographic range (a regional treatment) in a replicated design with vegetation intact and vegetation reduced (a disturbance treatment) and with herbivore access and herbivore exclusion (an herbivory treatment). Germination and reemergence were measured through two growing seasons, along with community-level variables. A fully-crossed linear mixed model revealed that Lomatium survivorship outside the current range was as good or better than survivorship within the range, at least when the vegetative community remained intact. This suggests that the species are dispersal limited. Germination often was improved in the presence of an intact vegetative community, but this potentially facilitative effect was absent in second-year reemergence. Plots exposed to herbivory had slightly, but significantly, reduced germination, though reemergence did not differ between herbivore treatments. Lomatium dissectum, a rare species, had significantly lower survivorship than its congeners, suggesting that range shifts in rare taxa may be particularly difficult. Seed additions beyond species' range limits may be a strategy for overcoming dispersal limitation and assisting species in poleward migrations.", "ISSN": "0030-1299", "page": "1783-1792", "volume": "118", "container-title": "Oikos", "title": "Dispersal limitation inferred from an experimental translocation of Lomatium (Apiaceae) species outside their geographic ranges", "issue": "12", "id": "ITEM-1"}}], "properties": {"noteIndex": 0}, "schema": "https://github.com/citation-style-language/schema/raw/master/csl-citation.json"}</w:instrText>
            </w:r>
            <w:r w:rsidRPr="00F85D3C">
              <w:rPr>
                <w:sz w:val="22"/>
                <w:szCs w:val="22"/>
              </w:rPr>
              <w:fldChar w:fldCharType="separate"/>
            </w:r>
            <w:r w:rsidRPr="00F85D3C">
              <w:rPr>
                <w:noProof/>
                <w:sz w:val="22"/>
                <w:szCs w:val="22"/>
              </w:rPr>
              <w:t>Marsico &amp; Hellmann 2009</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Phlox </w:t>
            </w:r>
            <w:proofErr w:type="spellStart"/>
            <w:r w:rsidRPr="00000AF6">
              <w:rPr>
                <w:i/>
                <w:sz w:val="22"/>
                <w:szCs w:val="22"/>
              </w:rPr>
              <w:t>drummondii</w:t>
            </w:r>
            <w:proofErr w:type="spellEnd"/>
            <w:r w:rsidRPr="00000AF6">
              <w:rPr>
                <w:rFonts w:cs="Arial"/>
                <w:sz w:val="22"/>
                <w:szCs w:val="22"/>
                <w:vertAlign w:val="superscript"/>
              </w:rPr>
              <w:t>‡‡</w:t>
            </w:r>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"(Levin &amp; Clay 1984)", "manualFormatting": "Levin &amp; Clay 1984"}, "citationItems": [{"uris": ["http://www.mendeley.com/documents/?uuid=06f26ec1-834b-4683-8edf-0ee270e47219"], "id": "ITEM-1", "itemData": {"type": "article-journal", "author": [{"given": "Donald A", "dropping-particle": "", "suffix": "", "family": "Levin", "parse-names": false, "non-dropping-particle": ""}, {"given": "Keith", "dropping-particle": "", "suffix": "", "family": "Clay", "parse-names": false, "non-dropping-particle": ""}], "issued": {"date-parts": [["1984"]]}, "title": "Dynamics of synthetic Phlox drummondii populations at the species margin", "page": "1040-1050", "volume": "71", "container-title": "American Journal of Botany", "issue": "8", "id": "ITEM-1"}}], "properties": {"noteIndex": 0}, "schema": "https://github.com/citation-style-language/schema/raw/master/csl-citation.json"}</w:instrText>
            </w:r>
            <w:r w:rsidRPr="00F85D3C">
              <w:rPr>
                <w:sz w:val="22"/>
                <w:szCs w:val="22"/>
              </w:rPr>
              <w:fldChar w:fldCharType="separate"/>
            </w:r>
            <w:r w:rsidRPr="00F85D3C">
              <w:rPr>
                <w:noProof/>
                <w:sz w:val="22"/>
                <w:szCs w:val="22"/>
              </w:rPr>
              <w:t>Levin &amp; Clay 1984</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Picea</w:t>
            </w:r>
            <w:proofErr w:type="spellEnd"/>
            <w:r w:rsidRPr="00000AF6">
              <w:rPr>
                <w:i/>
                <w:sz w:val="22"/>
                <w:szCs w:val="22"/>
              </w:rPr>
              <w:t xml:space="preserve"> </w:t>
            </w:r>
          </w:p>
          <w:p w:rsidR="00F461E0" w:rsidRPr="00000AF6" w:rsidRDefault="00F461E0" w:rsidP="00E64A04">
            <w:pPr>
              <w:rPr>
                <w:i/>
                <w:sz w:val="22"/>
                <w:szCs w:val="22"/>
              </w:rPr>
            </w:pPr>
            <w:r w:rsidRPr="00000AF6">
              <w:rPr>
                <w:i/>
                <w:sz w:val="22"/>
                <w:szCs w:val="22"/>
              </w:rPr>
              <w:t>glauca</w:t>
            </w:r>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"(Hobbie &amp; Chapin III 1998)", "manualFormatting": "Hobbie &amp; Chapin  1998"}, "citationItems": [{"uris": ["http://www.mendeley.com/documents/?uuid=21c46071-cf71-4981-9163-98eb1a4c6706"], "id": "ITEM-1", "itemData": {"DOI": "10.1046/j.1365-2745.1998.00278.x", "type": "article-journal", "author": [{"given": "Sarah E", "dropping-particle": "", "suffix": "", "family": "Hobbie", "parse-names": false, "non-dropping-particle": ""}, {"given": "F Stuart", "dropping-particle": "", "suffix": "", "family": "Chapin III", "parse-names": false, "non-dropping-particle": ""}], "issued": {"date-parts": [["1998", "6"]]}, "abstract": "1 Five treeline species had low seed germination rates and low survivorship and growth of seedlings when transplanted into Alaskan tundra. Seed germination of all species increased with experimental warming, suggesting that the present treeline may in part result from unsuccessful recruitment under cold conditions. 2 Growth, biomass and survivorship of seedlings of treeline species transplanted into tundra were largely unaffected by experimental warming. However, transplanted seedlings of three species (Betula papyrifera, Picea glauca and Populus tremuloides) grew more when below-ground competition with the extant community was reduced. All three measures of transplant performance were greater in shrub tundra than in the less productive tussock or heath tundra. Establishment of trees in tundra may thus be prevented by low resource availability and competition. 3 Two species (Alnus crispa and Populus balsamifera) had low seed germination and survivorship of germinated seeds; transplants of these species did not respond to the manipulations and lost biomass following transplanting into tundra. Isolated populations of these two species north of the present treeline in arctic Alaska probably became established during mid-Holocene warming rather than in recent times. 4 Of all the species studied here, Picea glauca was the most likely to invade intact upland tundra. Its seeds had the highest germination rates and it was the only species whose seedlings survived subsequently. Furthermore, transplanted seedlings of Picea glauca had relatively high survivorship and positive growth in tundra, especially in treatments that increased air temperature or nutrient availability, two factors likely to increase with climate warming.", "ISSN": "0022-0477", "page": "449-461", "volume": "86", "container-title": "Journal of Ecology", "title": "An experimental test of limits to tree establishment in Arctic tundra", "issue": "3", "id": "ITEM-1"}}], "properties": {"noteIndex": 0}, "schema": "https://github.com/citation-style-language/schema/raw/master/csl-citation.json"}</w:instrText>
            </w:r>
            <w:r w:rsidRPr="00F85D3C">
              <w:rPr>
                <w:sz w:val="22"/>
                <w:szCs w:val="22"/>
              </w:rPr>
              <w:fldChar w:fldCharType="separate"/>
            </w:r>
            <w:r w:rsidRPr="00F85D3C">
              <w:rPr>
                <w:noProof/>
                <w:sz w:val="22"/>
                <w:szCs w:val="22"/>
              </w:rPr>
              <w:t>Hobbie &amp; Chapin  1998</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Pinus </w:t>
            </w:r>
          </w:p>
          <w:p w:rsidR="00F461E0" w:rsidRPr="00000AF6" w:rsidRDefault="00F461E0" w:rsidP="00E64A04">
            <w:pPr>
              <w:rPr>
                <w:i/>
                <w:sz w:val="22"/>
                <w:szCs w:val="22"/>
              </w:rPr>
            </w:pPr>
            <w:proofErr w:type="spellStart"/>
            <w:r w:rsidRPr="00000AF6">
              <w:rPr>
                <w:i/>
                <w:sz w:val="22"/>
                <w:szCs w:val="22"/>
              </w:rPr>
              <w:t>albicaulis</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"(McLane &amp; Aitken 2012)", "manualFormatting": "McLane &amp; Aitken 2012"}, "citationItems": [{"uris": ["http://www.mendeley.com/documents/?uuid=3dc13705-93a2-4da5-9f9b-92b971dbb5b0"], "id": "ITEM-1", "itemData": {"type": "article-journal", "author": [{"given": "Sierra C", "dropping-particle": "", "suffix": "", "family": "McLane", "parse-names": false, "non-dropping-particle": ""}, {"given": "Sally N", "dropping-particle": "", "suffix": "", "family": "Aitken", "parse-names": false, "non-dropping-particle": ""}], "issued": {"date-parts": [["2012", "1"]]}, "abstract": "The ``translocation of species into habitable locations outside of their current ranges, termed assisted migration, has been proposed as a means of saving vulnerable species from extinction as a result of climate change. We explore the use of this controversial technique using a threatened keystone species in western North America, whitebark pine (Pinus albicaulis), as a case study. Species distribution models predict that whitebark pine will be extirpated from most of its current range as temperatures rise over the next 70 years. However, the same models indicate that a large area within northwestern British Columbia, Canada, is climatically suitable for the species under current conditions and will remain so throughout the 21st century. To test the capacity of whitebark pine to establish relative to Climatic and habitat features within its predicted climatic range, we planted seeds from seven populations in eight locations spanning from 600 km southeast to 800 km northwest of the northern boundary of the current species range. During the first three growing seasons, germination occurred in all locations. Nearly three times as many treated (induced maturation and broken dormancy) than untreated seeds germinated, and most treated seeds germinated a year earlier than the untreated seeds. Germination, survival, and growth were primarily influenced by seed mass, site climate conditions related to the duration of snow cover, and provenance temperature. Our experiment provides a preliminary test of models predicting the existence of climatically suitable whitebark pine habitat north of the current species ranges. More broadly, our techniques and results inform the development of scientific guidelines for assisting the migration of other species that are highly threatened by climate change. Applied case studies of this kind are critical for assessing the utility of species distribution models as conservation planning tools.", "ISSN": "1051-0761", "page": "142-153", "volume": "22", "container-title": "Ecological Applications", "title": "Whitebark pine (Pinus albicaulis) assisted migration potential: testing establishment north of the species range", "issue": "1", "id": "ITEM-1"}}], "properties": {"noteIndex": 0}, "schema": "https://github.com/citation-style-language/schema/raw/master/csl-citation.json"}</w:instrText>
            </w:r>
            <w:r w:rsidRPr="00F85D3C">
              <w:rPr>
                <w:sz w:val="22"/>
                <w:szCs w:val="22"/>
              </w:rPr>
              <w:fldChar w:fldCharType="separate"/>
            </w:r>
            <w:r w:rsidRPr="00F85D3C">
              <w:rPr>
                <w:noProof/>
                <w:sz w:val="22"/>
                <w:szCs w:val="22"/>
              </w:rPr>
              <w:t>McLane &amp; Aitken 2012</w:t>
            </w:r>
            <w:r w:rsidRPr="00F85D3C">
              <w:rPr>
                <w:sz w:val="22"/>
                <w:szCs w:val="22"/>
              </w:rPr>
              <w:fldChar w:fldCharType="end"/>
            </w:r>
          </w:p>
        </w:tc>
        <w:tc>
          <w:tcPr>
            <w:tcW w:w="944" w:type="dxa"/>
          </w:tcPr>
          <w:p w:rsidR="00F461E0" w:rsidRPr="00F85D3C" w:rsidRDefault="00F461E0" w:rsidP="00E64A04">
            <w:pPr>
              <w:rPr>
                <w:sz w:val="22"/>
                <w:szCs w:val="22"/>
              </w:rPr>
            </w:pPr>
            <w:r>
              <w:rPr>
                <w:sz w:val="22"/>
                <w:szCs w:val="22"/>
              </w:rPr>
              <w:t>+</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Populus</w:t>
            </w:r>
            <w:proofErr w:type="spellEnd"/>
            <w:r w:rsidRPr="00000AF6">
              <w:rPr>
                <w:i/>
                <w:sz w:val="22"/>
                <w:szCs w:val="22"/>
              </w:rPr>
              <w:t xml:space="preserve"> </w:t>
            </w:r>
            <w:proofErr w:type="spellStart"/>
            <w:r w:rsidRPr="00000AF6">
              <w:rPr>
                <w:i/>
                <w:sz w:val="22"/>
                <w:szCs w:val="22"/>
              </w:rPr>
              <w:t>tremuloides</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"(Hobbie &amp; Chapin III 1998)", "manualFormatting": "Hobbie &amp; Chapin  1998"}, "citationItems": [{"uris": ["http://www.mendeley.com/documents/?uuid=21c46071-cf71-4981-9163-98eb1a4c6706"], "id": "ITEM-1", "itemData": {"DOI": "10.1046/j.1365-2745.1998.00278.x", "type": "article-journal", "author": [{"given": "Sarah E", "dropping-particle": "", "suffix": "", "family": "Hobbie", "parse-names": false, "non-dropping-particle": ""}, {"given": "F Stuart", "dropping-particle": "", "suffix": "", "family": "Chapin III", "parse-names": false, "non-dropping-particle": ""}], "issued": {"date-parts": [["1998", "6"]]}, "abstract": "1 Five treeline species had low seed germination rates and low survivorship and growth of seedlings when transplanted into Alaskan tundra. Seed germination of all species increased with experimental warming, suggesting that the present treeline may in part result from unsuccessful recruitment under cold conditions. 2 Growth, biomass and survivorship of seedlings of treeline species transplanted into tundra were largely unaffected by experimental warming. However, transplanted seedlings of three species (Betula papyrifera, Picea glauca and Populus tremuloides) grew more when below-ground competition with the extant community was reduced. All three measures of transplant performance were greater in shrub tundra than in the less productive tussock or heath tundra. Establishment of trees in tundra may thus be prevented by low resource availability and competition. 3 Two species (Alnus crispa and Populus balsamifera) had low seed germination and survivorship of germinated seeds; transplants of these species did not respond to the manipulations and lost biomass following transplanting into tundra. Isolated populations of these two species north of the present treeline in arctic Alaska probably became established during mid-Holocene warming rather than in recent times. 4 Of all the species studied here, Picea glauca was the most likely to invade intact upland tundra. Its seeds had the highest germination rates and it was the only species whose seedlings survived subsequently. Furthermore, transplanted seedlings of Picea glauca had relatively high survivorship and positive growth in tundra, especially in treatments that increased air temperature or nutrient availability, two factors likely to increase with climate warming.", "ISSN": "0022-0477", "page": "449-461", "volume": "86", "container-title": "Journal of Ecology", "title": "An experimental test of limits to tree establishment in Arctic tundra", "issue": "3", "id": "ITEM-1"}}], "properties": {"noteIndex": 0}, "schema": "https://github.com/citation-style-language/schema/raw/master/csl-citation.json"}</w:instrText>
            </w:r>
            <w:r w:rsidRPr="00F85D3C">
              <w:rPr>
                <w:sz w:val="22"/>
                <w:szCs w:val="22"/>
              </w:rPr>
              <w:fldChar w:fldCharType="separate"/>
            </w:r>
            <w:r w:rsidRPr="00F85D3C">
              <w:rPr>
                <w:noProof/>
                <w:sz w:val="22"/>
                <w:szCs w:val="22"/>
              </w:rPr>
              <w:t>Hobbie &amp; Chapin  1998</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Protea </w:t>
            </w:r>
          </w:p>
          <w:p w:rsidR="00F461E0" w:rsidRPr="00000AF6" w:rsidRDefault="00F461E0" w:rsidP="00E64A04">
            <w:pPr>
              <w:rPr>
                <w:i/>
                <w:sz w:val="22"/>
                <w:szCs w:val="22"/>
              </w:rPr>
            </w:pPr>
            <w:proofErr w:type="spellStart"/>
            <w:r w:rsidRPr="00000AF6">
              <w:rPr>
                <w:i/>
                <w:sz w:val="22"/>
                <w:szCs w:val="22"/>
              </w:rPr>
              <w:t>aurea</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"(Latimer &lt;i&gt;et al.&lt;/i&gt; 2009)", "manualFormatting": "Latimer et al. 2009"}, "citationItems": [{"uris": ["http://www.mendeley.com/documents/?uuid=01f47df0-ace7-45ff-bae1-7cbb673963b8"], "id": "ITEM-1", "itemData": {"DOI": "10.1007/s00442-009-1275-3", "type": "article-journal", "author": [{"given": "Andrew M", "dropping-particle": "", "suffix": "", "family": "Latimer", "parse-names": false, "non-dropping-particle": ""}, {"given": "J A", "dropping-particle": "", "suffix": "", "family": "Silander Jr", "parse-names": false, "non-dropping-particle": ""}, {"given": "Anthony G", "dropping-particle": "", "suffix": "", "family": "Rebelo", "parse-names": false, "non-dropping-particle": ""}, {"given": "Guy F", "dropping-particle": "", "suffix": "", "family": "Midgley", "parse-names": false, "non-dropping-particle": ""}], "issued": {"date-parts": [["2009", "5"]]}, "abstract": "One of the fundamental dimensions of biodiversity is the rate of species turnover across geographic distance. The Cape Floristic Region of South Africa has exceptionally high geographic species turnover, much of which is associated with groups of closely related species with mostly or completely non-overlapping distributions. A basic unresolved question about biodiversity in this global hotspot is the relative importance of ecological gradients in generating and maintaining high geographic turnover in the region. We used reciprocal transplant experiments to test the extent to which abiotic environmental factors may limit the distributions of a group of closely related species in the genus Protea (Proteaceae), and thus elevate species turnover in this diverse, iconic family. We tested whether these species have a ``home site advantage{''} in demographic rates (germination, growth, mortality), and also parameterized stage-structured demographic models for the species. Two of the three native species were predicted to have a demographic advantage at their home sites. The models also predicted, however, that species could maintain positive population growth rates at sites beyond their current distribution limits. Thus the experiment suggests that abiotic limitation under current environmental conditions does not fully explain the observed distribution limits or resulting biogeographic pattern. One potentially important mechanism is dispersal limitation, which is consistent with estimates based on genetic data and mechanistic dispersal models, though other mechanisms including competition may also play a role.", "ISSN": "0029-8549", "page": "151-162", "volume": "160", "container-title": "Oecologia", "title": "Experimental biogeography: the role of environmental gradients in high geographic diversity in Cape Proteaceae", "PMID": "19194725", "issue": "1", "id": "ITEM-1"}}], "properties": {"noteIndex": 0}, "schema": "https://github.com/citation-style-language/schema/raw/master/csl-citation.json"}</w:instrText>
            </w:r>
            <w:r w:rsidRPr="00F85D3C">
              <w:rPr>
                <w:sz w:val="22"/>
                <w:szCs w:val="22"/>
              </w:rPr>
              <w:fldChar w:fldCharType="separate"/>
            </w:r>
            <w:r w:rsidRPr="00F85D3C">
              <w:rPr>
                <w:noProof/>
                <w:sz w:val="22"/>
                <w:szCs w:val="22"/>
              </w:rPr>
              <w:t>Latimer et al. 2009</w:t>
            </w:r>
            <w:r w:rsidRPr="00F85D3C">
              <w:rPr>
                <w:sz w:val="22"/>
                <w:szCs w:val="22"/>
              </w:rPr>
              <w:fldChar w:fldCharType="end"/>
            </w:r>
          </w:p>
        </w:tc>
        <w:tc>
          <w:tcPr>
            <w:tcW w:w="944" w:type="dxa"/>
          </w:tcPr>
          <w:p w:rsidR="00F461E0" w:rsidRPr="00F85D3C" w:rsidRDefault="00F461E0" w:rsidP="00E64A04">
            <w:pPr>
              <w:rPr>
                <w:sz w:val="22"/>
                <w:szCs w:val="22"/>
              </w:rPr>
            </w:pPr>
            <w:r>
              <w:rPr>
                <w:sz w:val="22"/>
                <w:szCs w:val="22"/>
              </w:rPr>
              <w:t>-</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Protea </w:t>
            </w:r>
          </w:p>
          <w:p w:rsidR="00F461E0" w:rsidRPr="00000AF6" w:rsidRDefault="00F461E0" w:rsidP="00E64A04">
            <w:pPr>
              <w:rPr>
                <w:i/>
                <w:sz w:val="22"/>
                <w:szCs w:val="22"/>
              </w:rPr>
            </w:pPr>
            <w:proofErr w:type="spellStart"/>
            <w:r w:rsidRPr="00000AF6">
              <w:rPr>
                <w:i/>
                <w:sz w:val="22"/>
                <w:szCs w:val="22"/>
              </w:rPr>
              <w:t>mundii</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"(Latimer &lt;i&gt;et al.&lt;/i&gt; 2009)", "manualFormatting": "Latimer et al. 2009"}, "citationItems": [{"uris": ["http://www.mendeley.com/documents/?uuid=01f47df0-ace7-45ff-bae1-7cbb673963b8"], "id": "ITEM-1", "itemData": {"DOI": "10.1007/s00442-009-1275-3", "type": "article-journal", "author": [{"given": "Andrew M", "dropping-particle": "", "suffix": "", "family": "Latimer", "parse-names": false, "non-dropping-particle": ""}, {"given": "J A", "dropping-particle": "", "suffix": "", "family": "Silander Jr", "parse-names": false, "non-dropping-particle": ""}, {"given": "Anthony G", "dropping-particle": "", "suffix": "", "family": "Rebelo", "parse-names": false, "non-dropping-particle": ""}, {"given": "Guy F", "dropping-particle": "", "suffix": "", "family": "Midgley", "parse-names": false, "non-dropping-particle": ""}], "issued": {"date-parts": [["2009", "5"]]}, "abstract": "One of the fundamental dimensions of biodiversity is the rate of species turnover across geographic distance. The Cape Floristic Region of South Africa has exceptionally high geographic species turnover, much of which is associated with groups of closely related species with mostly or completely non-overlapping distributions. A basic unresolved question about biodiversity in this global hotspot is the relative importance of ecological gradients in generating and maintaining high geographic turnover in the region. We used reciprocal transplant experiments to test the extent to which abiotic environmental factors may limit the distributions of a group of closely related species in the genus Protea (Proteaceae), and thus elevate species turnover in this diverse, iconic family. We tested whether these species have a ``home site advantage{''} in demographic rates (germination, growth, mortality), and also parameterized stage-structured demographic models for the species. Two of the three native species were predicted to have a demographic advantage at their home sites. The models also predicted, however, that species could maintain positive population growth rates at sites beyond their current distribution limits. Thus the experiment suggests that abiotic limitation under current environmental conditions does not fully explain the observed distribution limits or resulting biogeographic pattern. One potentially important mechanism is dispersal limitation, which is consistent with estimates based on genetic data and mechanistic dispersal models, though other mechanisms including competition may also play a role.", "ISSN": "0029-8549", "page": "151-162", "volume": "160", "container-title": "Oecologia", "title": "Experimental biogeography: the role of environmental gradients in high geographic diversity in Cape Proteaceae", "PMID": "19194725", "issue": "1", "id": "ITEM-1"}}], "properties": {"noteIndex": 0}, "schema": "https://github.com/citation-style-language/schema/raw/master/csl-citation.json"}</w:instrText>
            </w:r>
            <w:r w:rsidRPr="00F85D3C">
              <w:rPr>
                <w:sz w:val="22"/>
                <w:szCs w:val="22"/>
              </w:rPr>
              <w:fldChar w:fldCharType="separate"/>
            </w:r>
            <w:r w:rsidRPr="00F85D3C">
              <w:rPr>
                <w:noProof/>
                <w:sz w:val="22"/>
                <w:szCs w:val="22"/>
              </w:rPr>
              <w:t>Latimer et al. 2009</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Protea </w:t>
            </w:r>
          </w:p>
          <w:p w:rsidR="00F461E0" w:rsidRPr="00000AF6" w:rsidRDefault="00F461E0" w:rsidP="00E64A04">
            <w:pPr>
              <w:rPr>
                <w:i/>
                <w:sz w:val="22"/>
                <w:szCs w:val="22"/>
              </w:rPr>
            </w:pPr>
            <w:proofErr w:type="spellStart"/>
            <w:r w:rsidRPr="00000AF6">
              <w:rPr>
                <w:i/>
                <w:sz w:val="22"/>
                <w:szCs w:val="22"/>
              </w:rPr>
              <w:t>punctata</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"(Latimer &lt;i&gt;et al.&lt;/i&gt; 2009)", "manualFormatting": "Latimer et al. 2009"}, "citationItems": [{"uris": ["http://www.mendeley.com/documents/?uuid=01f47df0-ace7-45ff-bae1-7cbb673963b8"], "id": "ITEM-1", "itemData": {"DOI": "10.1007/s00442-009-1275-3", "type": "article-journal", "author": [{"given": "Andrew M", "dropping-particle": "", "suffix": "", "family": "Latimer", "parse-names": false, "non-dropping-particle": ""}, {"given": "J A", "dropping-particle": "", "suffix": "", "family": "Silander Jr", "parse-names": false, "non-dropping-particle": ""}, {"given": "Anthony G", "dropping-particle": "", "suffix": "", "family": "Rebelo", "parse-names": false, "non-dropping-particle": ""}, {"given": "Guy F", "dropping-particle": "", "suffix": "", "family": "Midgley", "parse-names": false, "non-dropping-particle": ""}], "issued": {"date-parts": [["2009", "5"]]}, "abstract": "One of the fundamental dimensions of biodiversity is the rate of species turnover across geographic distance. The Cape Floristic Region of South Africa has exceptionally high geographic species turnover, much of which is associated with groups of closely related species with mostly or completely non-overlapping distributions. A basic unresolved question about biodiversity in this global hotspot is the relative importance of ecological gradients in generating and maintaining high geographic turnover in the region. We used reciprocal transplant experiments to test the extent to which abiotic environmental factors may limit the distributions of a group of closely related species in the genus Protea (Proteaceae), and thus elevate species turnover in this diverse, iconic family. We tested whether these species have a ``home site advantage{''} in demographic rates (germination, growth, mortality), and also parameterized stage-structured demographic models for the species. Two of the three native species were predicted to have a demographic advantage at their home sites. The models also predicted, however, that species could maintain positive population growth rates at sites beyond their current distribution limits. Thus the experiment suggests that abiotic limitation under current environmental conditions does not fully explain the observed distribution limits or resulting biogeographic pattern. One potentially important mechanism is dispersal limitation, which is consistent with estimates based on genetic data and mechanistic dispersal models, though other mechanisms including competition may also play a role.", "ISSN": "0029-8549", "page": "151-162", "volume": "160", "container-title": "Oecologia", "title": "Experimental biogeography: the role of environmental gradients in high geographic diversity in Cape Proteaceae", "PMID": "19194725", "issue": "1", "id": "ITEM-1"}}], "properties": {"noteIndex": 0}, "schema": "https://github.com/citation-style-language/schema/raw/master/csl-citation.json"}</w:instrText>
            </w:r>
            <w:r w:rsidRPr="00F85D3C">
              <w:rPr>
                <w:sz w:val="22"/>
                <w:szCs w:val="22"/>
              </w:rPr>
              <w:fldChar w:fldCharType="separate"/>
            </w:r>
            <w:r w:rsidRPr="00F85D3C">
              <w:rPr>
                <w:noProof/>
                <w:sz w:val="22"/>
                <w:szCs w:val="22"/>
              </w:rPr>
              <w:t>Latimer et al. 2009</w:t>
            </w:r>
            <w:r w:rsidRPr="00F85D3C">
              <w:rPr>
                <w:sz w:val="22"/>
                <w:szCs w:val="22"/>
              </w:rPr>
              <w:fldChar w:fldCharType="end"/>
            </w:r>
          </w:p>
        </w:tc>
        <w:tc>
          <w:tcPr>
            <w:tcW w:w="944" w:type="dxa"/>
          </w:tcPr>
          <w:p w:rsidR="00F461E0" w:rsidRPr="00F85D3C" w:rsidRDefault="00F461E0" w:rsidP="00E64A04">
            <w:pPr>
              <w:rPr>
                <w:sz w:val="22"/>
                <w:szCs w:val="22"/>
              </w:rPr>
            </w:pPr>
            <w:r>
              <w:rPr>
                <w:sz w:val="22"/>
                <w:szCs w:val="22"/>
              </w:rPr>
              <w:t>-</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Thaumetopoea</w:t>
            </w:r>
            <w:proofErr w:type="spellEnd"/>
            <w:r w:rsidRPr="00000AF6">
              <w:rPr>
                <w:i/>
                <w:sz w:val="22"/>
                <w:szCs w:val="22"/>
              </w:rPr>
              <w:t xml:space="preserve"> </w:t>
            </w:r>
            <w:proofErr w:type="spellStart"/>
            <w:r w:rsidRPr="00000AF6">
              <w:rPr>
                <w:i/>
                <w:sz w:val="22"/>
                <w:szCs w:val="22"/>
              </w:rPr>
              <w:t>pityocampa</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"(Battisti &lt;i&gt;et al.&lt;/i&gt; 2005)", "manualFormatting": "Battisti et al. 2005"}, "citationItems": [{"uris": ["http://www.mendeley.com/documents/?uuid=1b86beef-ca63-4a80-9433-39c92d4565b9"], "id": "ITEM-1", "itemData": {"DOI": "10.1890/04-1903", "type": "article-journal", "author": [{"given": "Andrea", "dropping-particle": "", "suffix": "", "family": "Battisti", "parse-names": false, "non-dropping-particle": ""}, {"given": "Michael", "dropping-particle": "", "suffix": "", "family": "Stastny", "parse-names": false, "non-dropping-particle": ""}, {"given": "Sigrid", "dropping-particle": "", "suffix": "", "family": "Netherer", "parse-names": false, "non-dropping-particle": ""}, {"given": "Christelle", "dropping-particle": "", "suffix": "", "family": "Robinet", "parse-names": false, "non-dropping-particle": ""}, {"given": "Axel", "dropping-particle": "", "suffix": "", "family": "Schopf", "parse-names": false, "non-dropping-particle": ""}, {"given": "Alain", "dropping-particle": "", "suffix": "", "family": "Roques", "parse-names": false, "non-dropping-particle": ""}, {"given": "Stig", "dropping-particle": "", "suffix": "", "family": "Larsson", "parse-names": false, "non-dropping-particle": ""}], "issued": {"date-parts": [["2005", "12"]]}, "abstract": "Global warming is predicted to cause distributional changes in organisms whose geographic ranges are controlled by temperature. We report a recent latitudinal and altitudinal expansion of the pine processionary moth, Thaumetopoea pityocampa, whose larvae build silk nests and feed on pine foliage in the winter. In north-central France (Paris Basin), its range boundary. has shifted by 87 km northwards between 1972 and 2004; in northern Italy (Alps), an altitudinal shift of 110-230 in upwards occurred between 1975 and 2004. By experimentally linking Winter temperature, feeding activity, and survival of T. pityocampa larvae, we attribute the expansions to increased winter survival due to a warming trend over the past three decades. In the laboratory we determined the minimum nest and night air temperatures required for larval feeding and developed a mechanistic model based on these temperature thresholds. We tested the model in a translocation experiment that employed natural temperature gradients as spatial analogues for global warming. In all transects we transferred colonies of T. pityocampa larvae to sites within zones of historical distribution, recent distribution, and outside the present range. We monitored air and nest temperature, incoming solar radiation, larval phenology, feeding activity, and survival. Early-season temperature effects on phenology were evident with delayed development of colonies in the more extreme (colder) sites. In the coldest months, our model was consistent With the observed patterns of feeding activity: Feeding was, progressively reduced with increasing latitude,or elevation, as predicted by the lower number of hours when the feeding threshold was reached, which negatively affected final survival. Insolation raised nest temperature and increased feeding activity on the south but not the north aspect. Prolonged temperature drops below the feeding thresholds occurred at all-sites, leading to starvation and partial mortality. Nonetheless, even the most extreme sites still allowed some feeding and, consequently, up to 20% colony survival and successful pupation. Given that the present distribution of the oligophagous T. pityocampa is not constrained by the distribution of its actual or potential hosts, and that warmer winters will cause the number of hours of feeding to increase and the probability of the lower lethal temperature to decrease, we expect the trend of improved survival in previously prohibitive environments to co\u2026", "ISSN": "1051-0761", "page": "2084-2096", "volume": "15", "container-title": "Ecological Applications", "title": "Expansion of geographic range in the pine processionary moth caused by increased winter temperatures", "issue": "6", "id": "ITEM-1"}}], "properties": {"noteIndex": 0}, "schema": "https://github.com/citation-style-language/schema/raw/master/csl-citation.json"}</w:instrText>
            </w:r>
            <w:r w:rsidRPr="00F85D3C">
              <w:rPr>
                <w:sz w:val="22"/>
                <w:szCs w:val="22"/>
              </w:rPr>
              <w:fldChar w:fldCharType="separate"/>
            </w:r>
            <w:r w:rsidRPr="00F85D3C">
              <w:rPr>
                <w:noProof/>
                <w:sz w:val="22"/>
                <w:szCs w:val="22"/>
              </w:rPr>
              <w:t>Battisti et al. 2005</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r>
              <w:rPr>
                <w:sz w:val="22"/>
                <w:szCs w:val="22"/>
              </w:rPr>
              <w:t>-</w:t>
            </w:r>
          </w:p>
        </w:tc>
        <w:tc>
          <w:tcPr>
            <w:tcW w:w="1151" w:type="dxa"/>
          </w:tcPr>
          <w:p w:rsidR="00F461E0" w:rsidRPr="0056347D" w:rsidRDefault="00F461E0" w:rsidP="00E64A04">
            <w:pPr>
              <w:rPr>
                <w:bCs/>
                <w:sz w:val="22"/>
                <w:szCs w:val="22"/>
              </w:rPr>
            </w:pPr>
            <w:r>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Vulpia</w:t>
            </w:r>
            <w:proofErr w:type="spellEnd"/>
            <w:r w:rsidRPr="00000AF6">
              <w:rPr>
                <w:i/>
                <w:sz w:val="22"/>
                <w:szCs w:val="22"/>
              </w:rPr>
              <w:t xml:space="preserve"> fasciculata</w:t>
            </w:r>
            <w:r w:rsidRPr="00000AF6">
              <w:rPr>
                <w:rFonts w:cs="Arial"/>
                <w:sz w:val="22"/>
                <w:szCs w:val="22"/>
                <w:vertAlign w:val="superscript"/>
              </w:rPr>
              <w:t>§§</w:t>
            </w:r>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"(Norton &lt;i&gt;et al.&lt;/i&gt; 2005)", "manualFormatting": "Norton et al. 2005"}, "citationItems": [{"uris": ["http://www.mendeley.com/documents/?uuid=22a9b0c7-1c31-403a-ae3a-cfa70925068a"], "id": "ITEM-1", "itemData": {"DOI": "10.1007/s00442-005-0102-8", "type": "article-journal", "author": [{"given": "Lisa R", "dropping-particle": "", "suffix": "", "family": "Norton", "parse-names": false, "non-dropping-particle": ""}, {"given": "Les G", "dropping-particle": "", "suffix": "", "family": "Firbank", "parse-names": false, "non-dropping-particle": ""}, {"given": "Andrew", "dropping-particle": "", "suffix": "", "family": "Scott", "parse-names": false, "non-dropping-particle": ""}, {"given": "Andrew R", "dropping-particle": "", "suffix": "", "family": "Watkinson", "parse-names": false, "non-dropping-particle": ""}], "issued": {"date-parts": [["2005", "7"]]}, "abstract": "Understanding the factors that influence plant distributions is a considerable challenge for ecologists in the face of environmental change. Here, we quantify spatial and temporal variation in the finite rate of population increase of the annual grass Vulpia fasciculata. Specifically, we test the hypothesis that the northern range boundary is associated with finite rates of population increase of less than one. Seeds of three ecotypes of the annual grass V. fasciculata were introduced annually across a range of sites in Great Britain both within (11) and to the north (4) of its current range boundary in each of 4 years. Populations failed to establish at 17% of target sites due to disturbance. At the remaining target sites, the finite rate of population increase, lambda, varied from 0.06 to 33.3 with a geometric mean of 1.88. Of the total variance in the rate of population growth, site and year effects accounted independently for 40% of the variation and in interaction for 50%; ecotype accounted for less than 5% of the variation. Variation in the weather between sites and years had little impact on plant performance, and there was no indication that the rate of population growth was lower to the north of the current range boundary. We conclude that current climatic conditions on the coast of Great Britain are not limiting the distribution of V. fasciculata and that seeds from across its current range have roughly equivalent colonising potential.", "ISSN": "0029-8549", "page": "407-415", "volume": "144", "container-title": "Oecologia", "title": "Characterising spatial and temporal variation in the finite rate of population increase across the northern range boundary of the annual grass Vulpia fasciculata", "issue": "3", "id": "ITEM-1"}}], "properties": {"noteIndex": 0}, "schema": "https://github.com/citation-style-language/schema/raw/master/csl-citation.json"}</w:instrText>
            </w:r>
            <w:r w:rsidRPr="00F85D3C">
              <w:rPr>
                <w:sz w:val="22"/>
                <w:szCs w:val="22"/>
              </w:rPr>
              <w:fldChar w:fldCharType="separate"/>
            </w:r>
            <w:r w:rsidRPr="00F85D3C">
              <w:rPr>
                <w:noProof/>
                <w:sz w:val="22"/>
                <w:szCs w:val="22"/>
              </w:rPr>
              <w:t>Norton et al. 2005</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2543EE" w:rsidRDefault="00F461E0" w:rsidP="00E64A04">
            <w:pPr>
              <w:rPr>
                <w:bCs/>
                <w:sz w:val="22"/>
                <w:szCs w:val="22"/>
              </w:rPr>
            </w:pPr>
            <w:r w:rsidRPr="002543EE">
              <w:rPr>
                <w:bCs/>
                <w:sz w:val="22"/>
                <w:szCs w:val="22"/>
              </w:rPr>
              <w:t>-</w:t>
            </w:r>
          </w:p>
        </w:tc>
        <w:tc>
          <w:tcPr>
            <w:tcW w:w="1276" w:type="dxa"/>
          </w:tcPr>
          <w:p w:rsidR="00F461E0" w:rsidRPr="00DB3B1F" w:rsidRDefault="00F461E0" w:rsidP="00E64A04">
            <w:pPr>
              <w:rPr>
                <w:bCs/>
                <w:sz w:val="22"/>
                <w:szCs w:val="22"/>
              </w:rPr>
            </w:pPr>
            <w:r w:rsidRPr="00DB3B1F">
              <w:rPr>
                <w:bCs/>
                <w:sz w:val="22"/>
                <w:szCs w:val="22"/>
              </w:rPr>
              <w:t>-</w:t>
            </w:r>
          </w:p>
        </w:tc>
        <w:tc>
          <w:tcPr>
            <w:tcW w:w="1132" w:type="dxa"/>
          </w:tcPr>
          <w:p w:rsidR="00F461E0" w:rsidRPr="003811A0" w:rsidRDefault="00F461E0" w:rsidP="00E64A04">
            <w:pPr>
              <w:rPr>
                <w:bCs/>
                <w:sz w:val="22"/>
                <w:szCs w:val="22"/>
              </w:rPr>
            </w:pPr>
            <w:r w:rsidRPr="003811A0">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4B30DB" w:rsidRDefault="00F461E0" w:rsidP="00E64A04">
            <w:pPr>
              <w:rPr>
                <w:bCs/>
                <w:sz w:val="22"/>
                <w:szCs w:val="22"/>
              </w:rPr>
            </w:pPr>
            <w:r w:rsidRPr="004B30DB">
              <w:rPr>
                <w:bCs/>
                <w:sz w:val="22"/>
                <w:szCs w:val="22"/>
              </w:rPr>
              <w:t>-</w:t>
            </w:r>
          </w:p>
        </w:tc>
      </w:tr>
    </w:tbl>
    <w:p w:rsidR="00F461E0" w:rsidRDefault="00F461E0" w:rsidP="00F574AE">
      <w:pPr>
        <w:rPr>
          <w:sz w:val="22"/>
          <w:szCs w:val="22"/>
        </w:rPr>
      </w:pPr>
    </w:p>
    <w:p w:rsidR="00F574AE" w:rsidRDefault="00F461E0" w:rsidP="00F574AE">
      <w:r>
        <w:rPr>
          <w:sz w:val="22"/>
          <w:szCs w:val="22"/>
        </w:rPr>
        <w:br w:type="page"/>
      </w:r>
      <w:r w:rsidR="00F574AE">
        <w:lastRenderedPageBreak/>
        <w:t>Table S3-6</w:t>
      </w:r>
      <w:r w:rsidR="00F574AE" w:rsidRPr="00F85D3C">
        <w:t xml:space="preserve">. </w:t>
      </w:r>
      <w:r w:rsidR="00F574AE">
        <w:t xml:space="preserve"> Fitness and suitability patterns across vertical range limits (- indicates fitness or suitability declined across range limits; + indicates a lack of decline). See Table S3-2 for key to the parameter settings for the different analyses (V1-V6). </w:t>
      </w:r>
    </w:p>
    <w:p w:rsidR="00F574AE" w:rsidRDefault="00F574AE" w:rsidP="00F574AE"/>
    <w:p w:rsidR="00F574AE" w:rsidRPr="00F85D3C" w:rsidRDefault="00F574AE" w:rsidP="00F574AE"/>
    <w:tbl>
      <w:tblPr>
        <w:tblW w:w="11425" w:type="dxa"/>
        <w:tblLayout w:type="fixed"/>
        <w:tblCellMar>
          <w:left w:w="58" w:type="dxa"/>
          <w:right w:w="58" w:type="dxa"/>
        </w:tblCellMar>
        <w:tblLook w:val="00BF" w:firstRow="1" w:lastRow="0" w:firstColumn="1" w:lastColumn="0" w:noHBand="0" w:noVBand="0"/>
      </w:tblPr>
      <w:tblGrid>
        <w:gridCol w:w="1768"/>
        <w:gridCol w:w="1466"/>
        <w:gridCol w:w="944"/>
        <w:gridCol w:w="1151"/>
        <w:gridCol w:w="1134"/>
        <w:gridCol w:w="1276"/>
        <w:gridCol w:w="1132"/>
        <w:gridCol w:w="1271"/>
        <w:gridCol w:w="1283"/>
      </w:tblGrid>
      <w:tr w:rsidR="00F461E0" w:rsidRPr="00F85D3C" w:rsidTr="00F461E0">
        <w:tc>
          <w:tcPr>
            <w:tcW w:w="1768" w:type="dxa"/>
            <w:tcBorders>
              <w:top w:val="single" w:sz="4" w:space="0" w:color="auto"/>
              <w:bottom w:val="single" w:sz="4" w:space="0" w:color="auto"/>
            </w:tcBorders>
            <w:vAlign w:val="bottom"/>
          </w:tcPr>
          <w:p w:rsidR="00F461E0" w:rsidRPr="00000AF6" w:rsidRDefault="00F461E0" w:rsidP="00E64A04">
            <w:pPr>
              <w:ind w:right="-91"/>
              <w:rPr>
                <w:b/>
                <w:sz w:val="22"/>
                <w:szCs w:val="22"/>
              </w:rPr>
            </w:pPr>
            <w:r w:rsidRPr="00000AF6">
              <w:rPr>
                <w:b/>
                <w:sz w:val="22"/>
                <w:szCs w:val="22"/>
              </w:rPr>
              <w:t>Species</w:t>
            </w:r>
          </w:p>
        </w:tc>
        <w:tc>
          <w:tcPr>
            <w:tcW w:w="1466" w:type="dxa"/>
            <w:tcBorders>
              <w:top w:val="single" w:sz="4" w:space="0" w:color="auto"/>
              <w:bottom w:val="single" w:sz="4" w:space="0" w:color="auto"/>
            </w:tcBorders>
            <w:vAlign w:val="bottom"/>
          </w:tcPr>
          <w:p w:rsidR="00F461E0" w:rsidRPr="00F85D3C" w:rsidRDefault="00F461E0" w:rsidP="00E64A04">
            <w:pPr>
              <w:rPr>
                <w:b/>
                <w:sz w:val="22"/>
                <w:szCs w:val="22"/>
              </w:rPr>
            </w:pPr>
            <w:r w:rsidRPr="00F85D3C">
              <w:rPr>
                <w:b/>
                <w:sz w:val="22"/>
                <w:szCs w:val="22"/>
              </w:rPr>
              <w:t>Source of TE Data</w:t>
            </w:r>
          </w:p>
        </w:tc>
        <w:tc>
          <w:tcPr>
            <w:tcW w:w="944" w:type="dxa"/>
            <w:tcBorders>
              <w:top w:val="single" w:sz="4" w:space="0" w:color="auto"/>
              <w:bottom w:val="single" w:sz="4" w:space="0" w:color="auto"/>
            </w:tcBorders>
            <w:vAlign w:val="bottom"/>
          </w:tcPr>
          <w:p w:rsidR="00F461E0" w:rsidRPr="00F85D3C" w:rsidRDefault="00F461E0" w:rsidP="00E64A04">
            <w:pPr>
              <w:tabs>
                <w:tab w:val="left" w:pos="733"/>
              </w:tabs>
              <w:ind w:right="-108"/>
              <w:rPr>
                <w:b/>
                <w:sz w:val="22"/>
                <w:szCs w:val="22"/>
              </w:rPr>
            </w:pPr>
            <w:r>
              <w:rPr>
                <w:b/>
                <w:sz w:val="22"/>
                <w:szCs w:val="22"/>
              </w:rPr>
              <w:t>Fitness Pattern</w:t>
            </w:r>
          </w:p>
        </w:tc>
        <w:tc>
          <w:tcPr>
            <w:tcW w:w="1151" w:type="dxa"/>
            <w:tcBorders>
              <w:top w:val="single" w:sz="4" w:space="0" w:color="auto"/>
              <w:bottom w:val="single" w:sz="4" w:space="0" w:color="auto"/>
            </w:tcBorders>
            <w:vAlign w:val="bottom"/>
          </w:tcPr>
          <w:p w:rsidR="00F461E0" w:rsidRPr="0056347D" w:rsidRDefault="00F461E0" w:rsidP="00E64A04">
            <w:pPr>
              <w:ind w:right="-108"/>
              <w:rPr>
                <w:b/>
                <w:sz w:val="22"/>
                <w:szCs w:val="22"/>
              </w:rPr>
            </w:pPr>
            <w:r>
              <w:rPr>
                <w:b/>
                <w:sz w:val="22"/>
                <w:szCs w:val="22"/>
              </w:rPr>
              <w:t>Suitability Pattern V</w:t>
            </w:r>
            <w:r w:rsidRPr="0056347D">
              <w:rPr>
                <w:b/>
                <w:sz w:val="22"/>
                <w:szCs w:val="22"/>
              </w:rPr>
              <w:t>1</w:t>
            </w:r>
          </w:p>
        </w:tc>
        <w:tc>
          <w:tcPr>
            <w:tcW w:w="1134" w:type="dxa"/>
            <w:tcBorders>
              <w:top w:val="single" w:sz="4" w:space="0" w:color="auto"/>
              <w:bottom w:val="single" w:sz="4" w:space="0" w:color="auto"/>
            </w:tcBorders>
            <w:vAlign w:val="bottom"/>
          </w:tcPr>
          <w:p w:rsidR="00F461E0" w:rsidRPr="00F85D3C" w:rsidRDefault="00F461E0" w:rsidP="00E64A04">
            <w:pPr>
              <w:ind w:right="-108"/>
              <w:rPr>
                <w:b/>
                <w:bCs/>
                <w:sz w:val="22"/>
                <w:szCs w:val="22"/>
              </w:rPr>
            </w:pPr>
            <w:r>
              <w:rPr>
                <w:b/>
                <w:sz w:val="22"/>
                <w:szCs w:val="22"/>
              </w:rPr>
              <w:t>Suitability Pattern V2</w:t>
            </w:r>
          </w:p>
        </w:tc>
        <w:tc>
          <w:tcPr>
            <w:tcW w:w="1276" w:type="dxa"/>
            <w:tcBorders>
              <w:top w:val="single" w:sz="4" w:space="0" w:color="auto"/>
              <w:bottom w:val="single" w:sz="4" w:space="0" w:color="auto"/>
            </w:tcBorders>
            <w:vAlign w:val="bottom"/>
          </w:tcPr>
          <w:p w:rsidR="00F461E0" w:rsidRPr="00F85D3C" w:rsidRDefault="00F461E0" w:rsidP="00E64A04">
            <w:pPr>
              <w:rPr>
                <w:b/>
                <w:sz w:val="22"/>
                <w:szCs w:val="22"/>
              </w:rPr>
            </w:pPr>
            <w:r>
              <w:rPr>
                <w:b/>
                <w:sz w:val="22"/>
                <w:szCs w:val="22"/>
              </w:rPr>
              <w:t>Suitability Pattern V3</w:t>
            </w:r>
          </w:p>
        </w:tc>
        <w:tc>
          <w:tcPr>
            <w:tcW w:w="1132" w:type="dxa"/>
            <w:tcBorders>
              <w:top w:val="single" w:sz="4" w:space="0" w:color="auto"/>
              <w:bottom w:val="single" w:sz="4" w:space="0" w:color="auto"/>
            </w:tcBorders>
            <w:vAlign w:val="bottom"/>
          </w:tcPr>
          <w:p w:rsidR="00F461E0" w:rsidRPr="00F85D3C" w:rsidRDefault="00F461E0" w:rsidP="00E64A04">
            <w:pPr>
              <w:ind w:right="-108"/>
              <w:rPr>
                <w:b/>
                <w:sz w:val="22"/>
                <w:szCs w:val="22"/>
              </w:rPr>
            </w:pPr>
            <w:r>
              <w:rPr>
                <w:b/>
                <w:sz w:val="22"/>
                <w:szCs w:val="22"/>
              </w:rPr>
              <w:t>Suitability Pattern V4</w:t>
            </w:r>
          </w:p>
        </w:tc>
        <w:tc>
          <w:tcPr>
            <w:tcW w:w="1271" w:type="dxa"/>
            <w:tcBorders>
              <w:top w:val="single" w:sz="4" w:space="0" w:color="auto"/>
              <w:bottom w:val="single" w:sz="4" w:space="0" w:color="auto"/>
            </w:tcBorders>
            <w:vAlign w:val="bottom"/>
          </w:tcPr>
          <w:p w:rsidR="00F461E0" w:rsidRPr="00F85D3C" w:rsidRDefault="00F461E0" w:rsidP="00E64A04">
            <w:pPr>
              <w:rPr>
                <w:b/>
                <w:sz w:val="22"/>
                <w:szCs w:val="22"/>
              </w:rPr>
            </w:pPr>
            <w:r>
              <w:rPr>
                <w:b/>
                <w:sz w:val="22"/>
                <w:szCs w:val="22"/>
              </w:rPr>
              <w:t>Suitability Pattern V5</w:t>
            </w:r>
          </w:p>
        </w:tc>
        <w:tc>
          <w:tcPr>
            <w:tcW w:w="1283" w:type="dxa"/>
            <w:tcBorders>
              <w:top w:val="single" w:sz="4" w:space="0" w:color="auto"/>
              <w:bottom w:val="single" w:sz="4" w:space="0" w:color="auto"/>
            </w:tcBorders>
            <w:vAlign w:val="bottom"/>
          </w:tcPr>
          <w:p w:rsidR="00F461E0" w:rsidRPr="00F85D3C" w:rsidRDefault="00F461E0" w:rsidP="001F0BFC">
            <w:pPr>
              <w:ind w:right="-58"/>
              <w:rPr>
                <w:b/>
                <w:sz w:val="22"/>
                <w:szCs w:val="22"/>
              </w:rPr>
            </w:pPr>
            <w:r>
              <w:rPr>
                <w:b/>
                <w:sz w:val="22"/>
                <w:szCs w:val="22"/>
              </w:rPr>
              <w:t>Suitability Pattern V6</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Anelosimus</w:t>
            </w:r>
            <w:proofErr w:type="spellEnd"/>
            <w:r w:rsidRPr="00000AF6">
              <w:rPr>
                <w:i/>
                <w:sz w:val="22"/>
                <w:szCs w:val="22"/>
              </w:rPr>
              <w:t xml:space="preserve"> </w:t>
            </w:r>
            <w:proofErr w:type="spellStart"/>
            <w:r w:rsidRPr="00000AF6">
              <w:rPr>
                <w:i/>
                <w:sz w:val="22"/>
                <w:szCs w:val="22"/>
              </w:rPr>
              <w:t>baeza</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"(Purcell &amp; Aviles 2008)", "manualFormatting": "Purcell &amp; Aviles 2008"}, "citationItems": [{"uris": ["http://www.mendeley.com/documents/?uuid=5b4d1324-d86b-49bb-a529-1cff841ab6bd"], "id": "ITEM-1", "itemData": {"publisher": "ROYAL SOC", "DOI": "10.1098/rspb.2008.0582", "type": "article-journal", "publisher-place": "6-9 CARLTON HOUSE TERRACE, LONDON SW1Y 5AG, ENGLAND", "author": [{"given": "Jessica", "dropping-particle": "", "suffix": "", "family": "Purcell", "parse-names": false, "non-dropping-particle": ""}, {"given": "Leticia", "dropping-particle": "", "suffix": "", "family": "Aviles", "parse-names": false, "non-dropping-particle": ""}], "issued": {"date-parts": [["2008", "11"]]}, "abstract": "Species range boundaries often form along environmental gradients that dictate the success of the phenotypes present in each habitat. Sociality may allow colonization of environments where related species with a solitary lifestyle cannot persist. Social spiders in the genus Anelosimus appear restricted to low- and mid-elevation moist environments in the tropics, while subsocial spiders, common at higher elevations and latitudes, appear to be absent from the lowland tropical rainforest. Here, we seek factors that may simultaneously prevent subsocial Anelosimus species from colonizing the lowland rainforest while favouring species with large social groups in this habitat. To this end, we transplanted small groups of a subsocial species, which contain the offspring of a single female, from cloud forest habitat in the centre of its natural range to lower montane rainforest on the range margin and to lowland rainforest outside of the species range. Groups transplanted at the range margin and below their range limit were less likely to disperse and experienced increased mortality. This was correlated with greater rainfall intensity and ant abundance. We show that protection from rainfall enhances the performance of small groups of spiders in the lowland rainforest, and suggest that predation or disturbance by ants may influence the geographical range limits of this species.", "ISSN": "0962-8452", "page": "2617-2625", "volume": "275", "container-title": "Proceedings of the Royal Society B: Biological Sciences", "title": "Gradients of precipitation and ant abundance may contribute to the altitudinal range limit of subsocial spiders: insights from a transplant experiment", "issue": "1651", "id": "ITEM-1"}}], "properties": {"noteIndex": 0}, "schema": "https://github.com/citation-style-language/schema/raw/master/csl-citation.json"}</w:instrText>
            </w:r>
            <w:r w:rsidRPr="00F85D3C">
              <w:rPr>
                <w:sz w:val="22"/>
                <w:szCs w:val="22"/>
              </w:rPr>
              <w:fldChar w:fldCharType="separate"/>
            </w:r>
            <w:r w:rsidRPr="00F85D3C">
              <w:rPr>
                <w:noProof/>
                <w:sz w:val="22"/>
                <w:szCs w:val="22"/>
              </w:rPr>
              <w:t>Purcell &amp; Aviles 2008</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Aphragmus</w:t>
            </w:r>
            <w:proofErr w:type="spellEnd"/>
            <w:r w:rsidRPr="00000AF6">
              <w:rPr>
                <w:i/>
                <w:sz w:val="22"/>
                <w:szCs w:val="22"/>
              </w:rPr>
              <w:t xml:space="preserve"> </w:t>
            </w:r>
            <w:proofErr w:type="spellStart"/>
            <w:r w:rsidRPr="00000AF6">
              <w:rPr>
                <w:i/>
                <w:sz w:val="22"/>
                <w:szCs w:val="22"/>
              </w:rPr>
              <w:t>oxycarpus</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F85D3C">
              <w:rPr>
                <w:sz w:val="22"/>
                <w:szCs w:val="22"/>
              </w:rPr>
              <w:fldChar w:fldCharType="separate"/>
            </w:r>
            <w:r w:rsidRPr="00F85D3C">
              <w:rPr>
                <w:noProof/>
                <w:sz w:val="22"/>
                <w:szCs w:val="22"/>
              </w:rPr>
              <w:t>Klimeš &amp; Dolezal 2010</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Arnica </w:t>
            </w:r>
          </w:p>
          <w:p w:rsidR="00F461E0" w:rsidRPr="00000AF6" w:rsidRDefault="00F461E0" w:rsidP="00E64A04">
            <w:pPr>
              <w:rPr>
                <w:i/>
                <w:sz w:val="22"/>
                <w:szCs w:val="22"/>
              </w:rPr>
            </w:pPr>
            <w:proofErr w:type="spellStart"/>
            <w:r w:rsidRPr="00000AF6">
              <w:rPr>
                <w:i/>
                <w:sz w:val="22"/>
                <w:szCs w:val="22"/>
              </w:rPr>
              <w:t>montana</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"(Bruelheide &amp; Scheidel 1999)", "manualFormatting": "Bruelheide &amp; Scheidel 1999"}, "citationItems": [{"uris": ["http://www.mendeley.com/documents/?uuid=b48e873d-62dc-4a96-8dab-ea41dacde8dc"], "id": "ITEM-1", "itemData": {"DOI": "10.1046/j.1365-2745.1999.00403.x", "type": "article-journal", "author": [{"given": "Helge", "dropping-particle": "", "suffix": "", "family": "Bruelheide", "parse-names": false, "non-dropping-particle": ""}, {"given": "Ulrich", "dropping-particle": "", "suffix": "", "family": "Scheidel", "parse-names": false, "non-dropping-particle": ""}], "issued": {"date-parts": [["1999", "10"]]}, "abstract": "1 We tested whether slug herbivory is a factor restricting the rare perennial Arnica montana to high elevations in the Hart mountains, Lower Saxony. 2 In one experiment we artificially increased the mollusc population density in plots containing native: Arnica montana populations. Leaf loss and damage to Arnica increased significantly, whilst damage to other plant species in the same plots was unaffected by mollusc density. 3 A second experiment examined damage by molluscs of transplanted Arnica montana plants at three different altitudes. Whilst damage to Arnica was negligible at 610 m a.s.l. (where natural populations occur), molluscs removed 8% of Arnica leaf area at 385 m a.s.l. and 75% at 180 m a.s.l. At the two lower sites, protective caging of Arnica plants significantly reduced the amount of leaf tissue consumed by molluscs. The impact of mollusc herbivory on Arnica montana therefore appears to increase with decreasing altitude. 4 Despite the weak relationship between leaf damage to Arnica montana and mollusc abundance, periods of peak mollusc activity may well coincide with those phases in Arnica life history that are most sensitive to tissue removal by herbivores. 5 Our results support the hypothesis that polyphagous herbivores play a major role in limiting the distribution of preferred plant species. We discuss how selective herbivory may influence the distribution of Arnica montana populations in these grassland communities.", "ISSN": "0022-0477", "page": "839-848", "volume": "87", "container-title": "Journal of Ecology", "title": "Slug herbivory as a limiting factor for the geographical range of Arnica montana", "issue": "5", "id": "ITEM-1"}}], "properties": {"noteIndex": 0}, "schema": "https://github.com/citation-style-language/schema/raw/master/csl-citation.json"}</w:instrText>
            </w:r>
            <w:r w:rsidRPr="00F85D3C">
              <w:rPr>
                <w:sz w:val="22"/>
                <w:szCs w:val="22"/>
              </w:rPr>
              <w:fldChar w:fldCharType="separate"/>
            </w:r>
            <w:r w:rsidRPr="00F85D3C">
              <w:rPr>
                <w:noProof/>
                <w:sz w:val="22"/>
                <w:szCs w:val="22"/>
              </w:rPr>
              <w:t>Bruelheide &amp; Scheidel 1999</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Digitalis </w:t>
            </w:r>
            <w:proofErr w:type="spellStart"/>
            <w:r w:rsidRPr="00000AF6">
              <w:rPr>
                <w:i/>
                <w:sz w:val="22"/>
                <w:szCs w:val="22"/>
              </w:rPr>
              <w:t>purpurea</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"(Bruelheide &amp; Heinemeyer 2002)", "manualFormatting": "Bruelheide &amp; Heinemeyer 2002"}, "citationItems": [{"uris": ["http://www.mendeley.com/documents/?uuid=10784a73-f98c-4396-be18-3183c87e2e42"], "id": "ITEM-1", "itemData": {"publisher": "ELSEVIER GMBH, URBAN &amp; FISCHER VERLAG", "DOI": "10.1078/0367-2530-00064", "type": "article-journal", "publisher-place": "OFFICE JENA, P O BOX 100537, 07705 JENA, GERMANY", "author": [{"given": "Helge", "dropping-particle": "", "suffix": "", "family": "Bruelheide", "parse-names": false, "non-dropping-particle": ""}, {"given": "Andreas", "dropping-particle": "", "suffix": "", "family": "Heinemeyer", "parse-names": false, "non-dropping-particle": ""}], "issued": {"date-parts": [["2002"]]}, "abstract": "Digitalis purpurea was studied as a representative of a plant species with subatlantic geographical distribution in Central Germany with the objective of identifying the underlying climatic causes of the species' eastern distribution boundary. A transplantation experiment with 1-year-old plants and seeds was performed along a ca. 100 km west-east transect across the regional distribution boundary in northwest Thuringia and along an altitudinal transect from 380 m to H 30 m a.s.l. in the Harz Mountains. Continuous measurements of air temperatures below rosette leaves confirmed a clear gradient of increasing mean temperatures with decreasing elevation and, with the exception of one field site, from west to east. Biometrical measurements of the transplants and the survival rate of seedlings generally matched the temperature gradients. Photosynthesis measurements along the elevational transect showed that differences in growth between altitudes were reflected in differences of temperature optima of net assimilation. Seedling mortality was highest in winter at the highest and at the easternmost plot. Although this should be a clear indication of frost sensitivity, there was no satisfactory correlation with absolute minimum temperatures below the rosettes, which exhibited a range between -4.1degreesC and -9.2degreesC. Frost tolerance experiments were carried out in a freeze chamber at the end of the winter. Significant damage to leaves was found at -12degreesC or below; whereas the threshold for buds and roots was -15degreesC and -18degreesC, respectively. Although frost events of this magnitude were not observed below the rosettes during the period of investigation, mainly because of snow cover, they occur regularly in the study area. In addition to the winter conditions, summer drought was found to have a strong influence on growth of adult plants at the eastern sites. This was confirmed by a manipulative experiment with additional watering. Transpiration experiments also showed a strong water deficit in unwatered plants in the east. The general conclusion from the study is that frost events in winter, which mainly affect the survival of seedlings, combined with summer drought periods, which mainly limit growth of adults, explain the eastern distribution boundary of Digitalis purpurea.", "ISSN": "0367-2530", "page": "475-490", "volume": "197", "container-title": "Flora", "title": "Climatic factors controlling the eastern and altitudinal distribution boundary of Digitalis purpurea L. in Germany", "issue": "6", "id": "ITEM-1"}}], "properties": {"noteIndex": 0}, "schema": "https://github.com/citation-style-language/schema/raw/master/csl-citation.json"}</w:instrText>
            </w:r>
            <w:r w:rsidRPr="00F85D3C">
              <w:rPr>
                <w:sz w:val="22"/>
                <w:szCs w:val="22"/>
              </w:rPr>
              <w:fldChar w:fldCharType="separate"/>
            </w:r>
            <w:r w:rsidRPr="00F85D3C">
              <w:rPr>
                <w:noProof/>
                <w:sz w:val="22"/>
                <w:szCs w:val="22"/>
              </w:rPr>
              <w:t>Bruelheide &amp; Heinemeyer 2002</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r>
              <w:rPr>
                <w:sz w:val="22"/>
                <w:szCs w:val="22"/>
              </w:rPr>
              <w:t>-</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Draba</w:t>
            </w:r>
            <w:proofErr w:type="spellEnd"/>
            <w:r w:rsidRPr="00000AF6">
              <w:rPr>
                <w:i/>
                <w:sz w:val="22"/>
                <w:szCs w:val="22"/>
              </w:rPr>
              <w:t xml:space="preserve"> </w:t>
            </w:r>
          </w:p>
          <w:p w:rsidR="00F461E0" w:rsidRPr="00000AF6" w:rsidRDefault="00F461E0" w:rsidP="00E64A04">
            <w:pPr>
              <w:rPr>
                <w:i/>
                <w:sz w:val="22"/>
                <w:szCs w:val="22"/>
              </w:rPr>
            </w:pPr>
            <w:proofErr w:type="spellStart"/>
            <w:r w:rsidRPr="00000AF6">
              <w:rPr>
                <w:i/>
                <w:sz w:val="22"/>
                <w:szCs w:val="22"/>
              </w:rPr>
              <w:t>altaica</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F85D3C">
              <w:rPr>
                <w:sz w:val="22"/>
                <w:szCs w:val="22"/>
              </w:rPr>
              <w:fldChar w:fldCharType="separate"/>
            </w:r>
            <w:r w:rsidRPr="00F85D3C">
              <w:rPr>
                <w:noProof/>
                <w:sz w:val="22"/>
                <w:szCs w:val="22"/>
              </w:rPr>
              <w:t>Klimeš &amp; Dolezal 2010</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Draba</w:t>
            </w:r>
            <w:proofErr w:type="spellEnd"/>
            <w:r w:rsidRPr="00000AF6">
              <w:rPr>
                <w:i/>
                <w:sz w:val="22"/>
                <w:szCs w:val="22"/>
              </w:rPr>
              <w:t xml:space="preserve"> </w:t>
            </w:r>
          </w:p>
          <w:p w:rsidR="00F461E0" w:rsidRPr="00000AF6" w:rsidRDefault="00F461E0" w:rsidP="00E64A04">
            <w:pPr>
              <w:rPr>
                <w:i/>
                <w:sz w:val="22"/>
                <w:szCs w:val="22"/>
              </w:rPr>
            </w:pPr>
            <w:proofErr w:type="spellStart"/>
            <w:r w:rsidRPr="00000AF6">
              <w:rPr>
                <w:i/>
                <w:sz w:val="22"/>
                <w:szCs w:val="22"/>
              </w:rPr>
              <w:t>oreades</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F85D3C">
              <w:rPr>
                <w:sz w:val="22"/>
                <w:szCs w:val="22"/>
              </w:rPr>
              <w:fldChar w:fldCharType="separate"/>
            </w:r>
            <w:r w:rsidRPr="00F85D3C">
              <w:rPr>
                <w:noProof/>
                <w:sz w:val="22"/>
                <w:szCs w:val="22"/>
              </w:rPr>
              <w:t>Klimeš &amp; Dolezal 2010</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Hordeum</w:t>
            </w:r>
            <w:proofErr w:type="spellEnd"/>
            <w:r w:rsidRPr="00000AF6">
              <w:rPr>
                <w:i/>
                <w:sz w:val="22"/>
                <w:szCs w:val="22"/>
              </w:rPr>
              <w:t xml:space="preserve"> </w:t>
            </w:r>
            <w:proofErr w:type="spellStart"/>
            <w:r w:rsidRPr="00000AF6">
              <w:rPr>
                <w:i/>
                <w:sz w:val="22"/>
                <w:szCs w:val="22"/>
              </w:rPr>
              <w:t>murinum</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"(Davison 1977)", "manualFormatting": "Davison 1977"}, "citationItems": [{"uris": ["http://www.mendeley.com/documents/?uuid=b24a6851-3722-4ee3-95a7-2de2cc075635"], "id": "ITEM-1", "itemData": {"type": "article-journal", "author": [{"given": "A W", "dropping-particle": "", "suffix": "", "family": "Davison", "parse-names": false, "non-dropping-particle": ""}], "issued": {"date-parts": [["1977"]]}, "title": "The ecology of Hordeum murinum L.: III. Some effects of adverse climate", "page": "523-530", "volume": "65", "container-title": "Journal of Ecology", "issue": "2", "id": "ITEM-1"}}], "properties": {"noteIndex": 0}, "schema": "https://github.com/citation-style-language/schema/raw/master/csl-citation.json"}</w:instrText>
            </w:r>
            <w:r w:rsidRPr="00F85D3C">
              <w:rPr>
                <w:sz w:val="22"/>
                <w:szCs w:val="22"/>
              </w:rPr>
              <w:fldChar w:fldCharType="separate"/>
            </w:r>
            <w:r w:rsidRPr="00F85D3C">
              <w:rPr>
                <w:noProof/>
                <w:sz w:val="22"/>
                <w:szCs w:val="22"/>
              </w:rPr>
              <w:t>Davison 1977</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Mimulus cardinalis</w:t>
            </w:r>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"(Angert &amp; Schemske 2005)", "manualFormatting": "Angert &amp; Schemske 2005"}, "citationItems": [{"uris": ["http://www.mendeley.com/documents/?uuid=848aa109-a92c-4ad5-a1c3-052cbd9adecc"], "id": "ITEM-1", "itemData": {"type": "article-journal", "author": [{"given": "Amy L", "dropping-particle": "", "suffix": "", "family": "Angert", "parse-names": false, "non-dropping-particle": ""}, {"given": "Douglas W", "dropping-particle": "", "suffix": "", "family": "Schemske", "parse-names": false, "non-dropping-particle": ""}], "issued": {"date-parts": [["2005", "8"]]}, "abstract": "Every species occupies a limited geographic area, but it remains unclear why traits that limit distribution do not evolve to allow range expansion. Hypotheses for the evolutionary stability of geographic ranges assume that species are maladapted at the range boundary and unfit beyond the current range, but this assumption has rarely been tested. To examine how fitness varies across species' ranges, we reciprocally transplanted two species of monkeyflowers, Mimulus cardinalis and M. lewisii, within and beyond their present elevation ranges. We used individuals of known parentage from populations collected across the elevation ranges of both species to examine whether populations are adapted to position within the range. For both species we found the greatest average fitness at elevations central within the range, reduced fitness at the range margin, and zero or near-zero fitness when transplanted beyond their present elevation range limits. However, the underlying causes of fitness variation differed between the species. At high elevations beyond its range, M. cardinalis displayed reduced growth and fecundity, whereas at low elevations M. lewisii experienced high mortality. Weak differences in performance were observed among populations within each species and these were not related to elevation of origin. Low fitness of both species at their range margin and weak differentiation among populations within each species suggest that adaptation to the environment at and beyond the range margin is hindered, illustrating that range margins provide an interesting system in which to study limits to adaptation.", "ISSN": "0014-3820", "page": "1671-84", "volume": "59", "container-title": "Evolution", "title": "The evolution of species' distributions: reciprocal transplants across the elevation ranges of Mimulus cardinalis and M. lewisii.", "PMID": "16329239", "issue": "8", "id": "ITEM-1"}}], "properties": {"noteIndex": 0}, "schema": "https://github.com/citation-style-language/schema/raw/master/csl-citation.json"}</w:instrText>
            </w:r>
            <w:r w:rsidRPr="00F85D3C">
              <w:rPr>
                <w:sz w:val="22"/>
                <w:szCs w:val="22"/>
              </w:rPr>
              <w:fldChar w:fldCharType="separate"/>
            </w:r>
            <w:r w:rsidRPr="00F85D3C">
              <w:rPr>
                <w:noProof/>
                <w:sz w:val="22"/>
                <w:szCs w:val="22"/>
              </w:rPr>
              <w:t>Angert &amp; Schemske 2005</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Mimulus</w:t>
            </w:r>
          </w:p>
          <w:p w:rsidR="00F461E0" w:rsidRPr="00000AF6" w:rsidRDefault="00F461E0" w:rsidP="00E64A04">
            <w:pPr>
              <w:rPr>
                <w:i/>
                <w:sz w:val="22"/>
                <w:szCs w:val="22"/>
              </w:rPr>
            </w:pPr>
            <w:proofErr w:type="spellStart"/>
            <w:r w:rsidRPr="00000AF6">
              <w:rPr>
                <w:i/>
                <w:sz w:val="22"/>
                <w:szCs w:val="22"/>
              </w:rPr>
              <w:t>lewisii</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"(Angert &amp; Schemske 2005)", "manualFormatting": "Angert &amp; Schemske 2005"}, "citationItems": [{"uris": ["http://www.mendeley.com/documents/?uuid=848aa109-a92c-4ad5-a1c3-052cbd9adecc"], "id": "ITEM-1", "itemData": {"type": "article-journal", "author": [{"given": "Amy L", "dropping-particle": "", "suffix": "", "family": "Angert", "parse-names": false, "non-dropping-particle": ""}, {"given": "Douglas W", "dropping-particle": "", "suffix": "", "family": "Schemske", "parse-names": false, "non-dropping-particle": ""}], "issued": {"date-parts": [["2005", "8"]]}, "abstract": "Every species occupies a limited geographic area, but it remains unclear why traits that limit distribution do not evolve to allow range expansion. Hypotheses for the evolutionary stability of geographic ranges assume that species are maladapted at the range boundary and unfit beyond the current range, but this assumption has rarely been tested. To examine how fitness varies across species' ranges, we reciprocally transplanted two species of monkeyflowers, Mimulus cardinalis and M. lewisii, within and beyond their present elevation ranges. We used individuals of known parentage from populations collected across the elevation ranges of both species to examine whether populations are adapted to position within the range. For both species we found the greatest average fitness at elevations central within the range, reduced fitness at the range margin, and zero or near-zero fitness when transplanted beyond their present elevation range limits. However, the underlying causes of fitness variation differed between the species. At high elevations beyond its range, M. cardinalis displayed reduced growth and fecundity, whereas at low elevations M. lewisii experienced high mortality. Weak differences in performance were observed among populations within each species and these were not related to elevation of origin. Low fitness of both species at their range margin and weak differentiation among populations within each species suggest that adaptation to the environment at and beyond the range margin is hindered, illustrating that range margins provide an interesting system in which to study limits to adaptation.", "ISSN": "0014-3820", "page": "1671-84", "volume": "59", "container-title": "Evolution", "title": "The evolution of species' distributions: reciprocal transplants across the elevation ranges of Mimulus cardinalis and M. lewisii.", "PMID": "16329239", "issue": "8", "id": "ITEM-1"}}], "properties": {"noteIndex": 0}, "schema": "https://github.com/citation-style-language/schema/raw/master/csl-citation.json"}</w:instrText>
            </w:r>
            <w:r w:rsidRPr="00F85D3C">
              <w:rPr>
                <w:sz w:val="22"/>
                <w:szCs w:val="22"/>
              </w:rPr>
              <w:fldChar w:fldCharType="separate"/>
            </w:r>
            <w:r w:rsidRPr="00F85D3C">
              <w:rPr>
                <w:noProof/>
                <w:sz w:val="22"/>
                <w:szCs w:val="22"/>
              </w:rPr>
              <w:t>Angert &amp; Schemske 2005</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Mnium </w:t>
            </w:r>
            <w:proofErr w:type="spellStart"/>
            <w:r w:rsidRPr="00000AF6">
              <w:rPr>
                <w:i/>
                <w:sz w:val="22"/>
                <w:szCs w:val="22"/>
              </w:rPr>
              <w:t>arizonicum</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"(Cleavitt 2004)", "manualFormatting": "Cleavitt 2004"}, "citationItems": [{"uris": ["http://www.mendeley.com/documents/?uuid=3a9bb4a0-e001-4354-b4a3-0453594e8709"], "id": "ITEM-1", "itemData": {"DOI": "10.1023/B:VEGE.0000049099.11785.ba", "type": "article-journal", "author": [{"given": "Natalie", "dropping-particle": "", "suffix": "", "family": "Cleavitt", "parse-names": false, "non-dropping-particle": ""}], "issued": {"date-parts": [["2004"]]}, "ISSN": "1385-0237", "page": "205-216", "volume": "174", "container-title": "Plant Ecology", "title": "Comparative ecology of a lowland and a subalpine species of Mnium in the northern Rocky Mountains", "issue": "2", "id": "ITEM-1"}}], "properties": {"noteIndex": 0}, "schema": "https://github.com/citation-style-language/schema/raw/master/csl-citation.json"}</w:instrText>
            </w:r>
            <w:r w:rsidRPr="00F85D3C">
              <w:rPr>
                <w:sz w:val="22"/>
                <w:szCs w:val="22"/>
              </w:rPr>
              <w:fldChar w:fldCharType="separate"/>
            </w:r>
            <w:r w:rsidRPr="00F85D3C">
              <w:rPr>
                <w:noProof/>
                <w:sz w:val="22"/>
                <w:szCs w:val="22"/>
              </w:rPr>
              <w:t>Cleavitt 2004</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Mnium </w:t>
            </w:r>
            <w:proofErr w:type="spellStart"/>
            <w:r w:rsidRPr="00000AF6">
              <w:rPr>
                <w:i/>
                <w:sz w:val="22"/>
                <w:szCs w:val="22"/>
              </w:rPr>
              <w:t>spinulosum</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"(Cleavitt 2004)", "manualFormatting": "Cleavitt 2004"}, "citationItems": [{"uris": ["http://www.mendeley.com/documents/?uuid=3a9bb4a0-e001-4354-b4a3-0453594e8709"], "id": "ITEM-1", "itemData": {"DOI": "10.1023/B:VEGE.0000049099.11785.ba", "type": "article-journal", "author": [{"given": "Natalie", "dropping-particle": "", "suffix": "", "family": "Cleavitt", "parse-names": false, "non-dropping-particle": ""}], "issued": {"date-parts": [["2004"]]}, "ISSN": "1385-0237", "page": "205-216", "volume": "174", "container-title": "Plant Ecology", "title": "Comparative ecology of a lowland and a subalpine species of Mnium in the northern Rocky Mountains", "issue": "2", "id": "ITEM-1"}}], "properties": {"noteIndex": 0}, "schema": "https://github.com/citation-style-language/schema/raw/master/csl-citation.json"}</w:instrText>
            </w:r>
            <w:r w:rsidRPr="00F85D3C">
              <w:rPr>
                <w:sz w:val="22"/>
                <w:szCs w:val="22"/>
              </w:rPr>
              <w:fldChar w:fldCharType="separate"/>
            </w:r>
            <w:r w:rsidRPr="00F85D3C">
              <w:rPr>
                <w:noProof/>
                <w:sz w:val="22"/>
                <w:szCs w:val="22"/>
              </w:rPr>
              <w:t>Cleavitt 2004</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Pegaeophyton</w:t>
            </w:r>
            <w:proofErr w:type="spellEnd"/>
            <w:r w:rsidRPr="00000AF6">
              <w:rPr>
                <w:i/>
                <w:sz w:val="22"/>
                <w:szCs w:val="22"/>
              </w:rPr>
              <w:t xml:space="preserve"> </w:t>
            </w:r>
            <w:proofErr w:type="spellStart"/>
            <w:r w:rsidRPr="00000AF6">
              <w:rPr>
                <w:i/>
                <w:sz w:val="22"/>
                <w:szCs w:val="22"/>
              </w:rPr>
              <w:t>scapiflorum</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F85D3C">
              <w:rPr>
                <w:sz w:val="22"/>
                <w:szCs w:val="22"/>
              </w:rPr>
              <w:fldChar w:fldCharType="separate"/>
            </w:r>
            <w:r w:rsidRPr="00F85D3C">
              <w:rPr>
                <w:noProof/>
                <w:sz w:val="22"/>
                <w:szCs w:val="22"/>
              </w:rPr>
              <w:t>Klimeš &amp; Dolezal 2010</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Poa</w:t>
            </w:r>
            <w:proofErr w:type="spellEnd"/>
            <w:r w:rsidRPr="00000AF6">
              <w:rPr>
                <w:i/>
                <w:sz w:val="22"/>
                <w:szCs w:val="22"/>
              </w:rPr>
              <w:t xml:space="preserve"> </w:t>
            </w:r>
          </w:p>
          <w:p w:rsidR="00F461E0" w:rsidRPr="00000AF6" w:rsidRDefault="00F461E0" w:rsidP="00E64A04">
            <w:pPr>
              <w:rPr>
                <w:i/>
                <w:sz w:val="22"/>
                <w:szCs w:val="22"/>
              </w:rPr>
            </w:pPr>
            <w:proofErr w:type="spellStart"/>
            <w:r w:rsidRPr="00000AF6">
              <w:rPr>
                <w:i/>
                <w:sz w:val="22"/>
                <w:szCs w:val="22"/>
              </w:rPr>
              <w:t>attenuata</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F85D3C">
              <w:rPr>
                <w:sz w:val="22"/>
                <w:szCs w:val="22"/>
              </w:rPr>
              <w:fldChar w:fldCharType="separate"/>
            </w:r>
            <w:r w:rsidRPr="00F85D3C">
              <w:rPr>
                <w:noProof/>
                <w:sz w:val="22"/>
                <w:szCs w:val="22"/>
              </w:rPr>
              <w:t>Klimeš &amp; Dolezal 2010</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Protea </w:t>
            </w:r>
          </w:p>
          <w:p w:rsidR="00F461E0" w:rsidRPr="00000AF6" w:rsidRDefault="00F461E0" w:rsidP="00E64A04">
            <w:pPr>
              <w:rPr>
                <w:i/>
                <w:sz w:val="22"/>
                <w:szCs w:val="22"/>
              </w:rPr>
            </w:pPr>
            <w:proofErr w:type="spellStart"/>
            <w:r w:rsidRPr="00000AF6">
              <w:rPr>
                <w:i/>
                <w:sz w:val="22"/>
                <w:szCs w:val="22"/>
              </w:rPr>
              <w:lastRenderedPageBreak/>
              <w:t>aurea</w:t>
            </w:r>
            <w:proofErr w:type="spellEnd"/>
          </w:p>
        </w:tc>
        <w:tc>
          <w:tcPr>
            <w:tcW w:w="1466" w:type="dxa"/>
          </w:tcPr>
          <w:p w:rsidR="00F461E0" w:rsidRPr="00F85D3C" w:rsidRDefault="00F461E0" w:rsidP="00E64A04">
            <w:pPr>
              <w:rPr>
                <w:sz w:val="22"/>
                <w:szCs w:val="22"/>
              </w:rPr>
            </w:pPr>
            <w:r w:rsidRPr="00F85D3C">
              <w:rPr>
                <w:sz w:val="22"/>
                <w:szCs w:val="22"/>
              </w:rPr>
              <w:lastRenderedPageBreak/>
              <w:fldChar w:fldCharType="begin"/>
            </w:r>
            <w:r w:rsidRPr="00F85D3C">
              <w:rPr>
                <w:sz w:val="22"/>
                <w:szCs w:val="22"/>
              </w:rPr>
              <w:instrText>ADDIN CSL_CITATION {"mendeley": {"previouslyFormattedCitation": "(Latimer &lt;i&gt;et al.&lt;/i&gt; 2009)", "manualFormatting": "Latimer et al. 2009"}, "citationItems": [{"uris": ["http://www.mendeley.com/documents/?uuid=01f47df0-ace7-45ff-bae1-7cbb673963b8"], "id": "ITEM-1", "itemData": {"DOI": "10.1007/s00442-009-1275-3", "type": "article-journal", "author": [{"given": "Andrew M", "dropping-particle": "", "suffix": "", "family": "Latimer", "parse-names": false, "non-dropping-particle": ""}, {"given": "J A", "dropping-particle": "", "suffix": "", "family": "Silander Jr", "parse-names": false, "non-dropping-particle": ""}, {"given": "Anthony G", "dropping-particle": "", "suffix": "", "family": "Rebelo", "parse-names": false, "non-dropping-particle": ""}, {"given": "Guy F", "dropping-particle": "", "suffix": "", "family": "Midgley", "parse-names": false, "non-dropping-particle": ""}], "issued": {"date-parts": [["2009", "5"]]}, "abstract": "One of the fundamental dimensions of biodiversity is the rate of species turnover across geographic distance. The Cape Floristic Region of South Africa has exceptionally high geographic species turnover, much of which is associated with groups of closely related species with mostly or completely non-overlapping distributions. A basic unresolved question about biodiversity in this global hotspot is the relative importance of ecological gradients in generating and maintaining high geographic turnover in the region. We used reciprocal transplant experiments to test the extent to which abiotic environmental factors may limit the distributions of a group of closely related species in the genus Protea (Proteaceae), and thus elevate species turnover in this diverse, iconic family. We tested whether these species have a ``home site advantage{''} in demographic rates (germination, growth, mortality), and also parameterized stage-structured demographic models for the species. Two of the three native species were predicted to have a demographic advantage at their home sites. The models also predicted, however, that species could maintain positive population growth rates at sites beyond their current distribution limits. Thus the experiment suggests that abiotic limitation under current environmental conditions does not fully explain the observed distribution limits or resulting biogeographic pattern. One potentially important mechanism is dispersal limitation, which is consistent with estimates based on genetic data and mechanistic dispersal models, though other mechanisms including competition may also play a role.", "ISSN": "0029-8549", "page": "151-162", "volume": "160", "container-title": "Oecologia", "title": "Experimental biogeography: the role of environmental gradients in high geographic diversity in Cape Proteaceae", "PMID": "19194725", "issue": "1", "id": "ITEM-1"}}], "properties": {"noteIndex": 0}, "schema": "https://github.com/citation-style-language/schema/raw/master/csl-citation.json"}</w:instrText>
            </w:r>
            <w:r w:rsidRPr="00F85D3C">
              <w:rPr>
                <w:sz w:val="22"/>
                <w:szCs w:val="22"/>
              </w:rPr>
              <w:fldChar w:fldCharType="separate"/>
            </w:r>
            <w:r w:rsidRPr="00F85D3C">
              <w:rPr>
                <w:noProof/>
                <w:sz w:val="22"/>
                <w:szCs w:val="22"/>
              </w:rPr>
              <w:t xml:space="preserve">Latimer et al. </w:t>
            </w:r>
            <w:r w:rsidRPr="00F85D3C">
              <w:rPr>
                <w:noProof/>
                <w:sz w:val="22"/>
                <w:szCs w:val="22"/>
              </w:rPr>
              <w:lastRenderedPageBreak/>
              <w:t>2009</w:t>
            </w:r>
            <w:r w:rsidRPr="00F85D3C">
              <w:rPr>
                <w:sz w:val="22"/>
                <w:szCs w:val="22"/>
              </w:rPr>
              <w:fldChar w:fldCharType="end"/>
            </w:r>
          </w:p>
        </w:tc>
        <w:tc>
          <w:tcPr>
            <w:tcW w:w="944" w:type="dxa"/>
          </w:tcPr>
          <w:p w:rsidR="00F461E0" w:rsidRPr="00F85D3C" w:rsidRDefault="00F461E0" w:rsidP="00E64A04">
            <w:pPr>
              <w:rPr>
                <w:sz w:val="22"/>
                <w:szCs w:val="22"/>
              </w:rPr>
            </w:pPr>
            <w:r>
              <w:rPr>
                <w:sz w:val="22"/>
                <w:szCs w:val="22"/>
              </w:rPr>
              <w:lastRenderedPageBreak/>
              <w:t>-</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r w:rsidRPr="00000AF6">
              <w:rPr>
                <w:i/>
                <w:sz w:val="22"/>
                <w:szCs w:val="22"/>
              </w:rPr>
              <w:t xml:space="preserve">Protea </w:t>
            </w:r>
          </w:p>
          <w:p w:rsidR="00F461E0" w:rsidRPr="00000AF6" w:rsidRDefault="00F461E0" w:rsidP="00E64A04">
            <w:pPr>
              <w:rPr>
                <w:i/>
                <w:sz w:val="22"/>
                <w:szCs w:val="22"/>
              </w:rPr>
            </w:pPr>
            <w:proofErr w:type="spellStart"/>
            <w:r w:rsidRPr="00000AF6">
              <w:rPr>
                <w:i/>
                <w:sz w:val="22"/>
                <w:szCs w:val="22"/>
              </w:rPr>
              <w:t>punctata</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"(Latimer &lt;i&gt;et al.&lt;/i&gt; 2009)", "manualFormatting": "Latimer et al. 2009"}, "citationItems": [{"uris": ["http://www.mendeley.com/documents/?uuid=01f47df0-ace7-45ff-bae1-7cbb673963b8"], "id": "ITEM-1", "itemData": {"DOI": "10.1007/s00442-009-1275-3", "type": "article-journal", "author": [{"given": "Andrew M", "dropping-particle": "", "suffix": "", "family": "Latimer", "parse-names": false, "non-dropping-particle": ""}, {"given": "J A", "dropping-particle": "", "suffix": "", "family": "Silander Jr", "parse-names": false, "non-dropping-particle": ""}, {"given": "Anthony G", "dropping-particle": "", "suffix": "", "family": "Rebelo", "parse-names": false, "non-dropping-particle": ""}, {"given": "Guy F", "dropping-particle": "", "suffix": "", "family": "Midgley", "parse-names": false, "non-dropping-particle": ""}], "issued": {"date-parts": [["2009", "5"]]}, "abstract": "One of the fundamental dimensions of biodiversity is the rate of species turnover across geographic distance. The Cape Floristic Region of South Africa has exceptionally high geographic species turnover, much of which is associated with groups of closely related species with mostly or completely non-overlapping distributions. A basic unresolved question about biodiversity in this global hotspot is the relative importance of ecological gradients in generating and maintaining high geographic turnover in the region. We used reciprocal transplant experiments to test the extent to which abiotic environmental factors may limit the distributions of a group of closely related species in the genus Protea (Proteaceae), and thus elevate species turnover in this diverse, iconic family. We tested whether these species have a ``home site advantage{''} in demographic rates (germination, growth, mortality), and also parameterized stage-structured demographic models for the species. Two of the three native species were predicted to have a demographic advantage at their home sites. The models also predicted, however, that species could maintain positive population growth rates at sites beyond their current distribution limits. Thus the experiment suggests that abiotic limitation under current environmental conditions does not fully explain the observed distribution limits or resulting biogeographic pattern. One potentially important mechanism is dispersal limitation, which is consistent with estimates based on genetic data and mechanistic dispersal models, though other mechanisms including competition may also play a role.", "ISSN": "0029-8549", "page": "151-162", "volume": "160", "container-title": "Oecologia", "title": "Experimental biogeography: the role of environmental gradients in high geographic diversity in Cape Proteaceae", "PMID": "19194725", "issue": "1", "id": "ITEM-1"}}], "properties": {"noteIndex": 0}, "schema": "https://github.com/citation-style-language/schema/raw/master/csl-citation.json"}</w:instrText>
            </w:r>
            <w:r w:rsidRPr="00F85D3C">
              <w:rPr>
                <w:sz w:val="22"/>
                <w:szCs w:val="22"/>
              </w:rPr>
              <w:fldChar w:fldCharType="separate"/>
            </w:r>
            <w:r w:rsidRPr="00F85D3C">
              <w:rPr>
                <w:noProof/>
                <w:sz w:val="22"/>
                <w:szCs w:val="22"/>
              </w:rPr>
              <w:t>Latimer et al. 2009</w:t>
            </w:r>
            <w:r w:rsidRPr="00F85D3C">
              <w:rPr>
                <w:sz w:val="22"/>
                <w:szCs w:val="22"/>
              </w:rPr>
              <w:fldChar w:fldCharType="end"/>
            </w:r>
          </w:p>
        </w:tc>
        <w:tc>
          <w:tcPr>
            <w:tcW w:w="944" w:type="dxa"/>
          </w:tcPr>
          <w:p w:rsidR="00F461E0" w:rsidRPr="00F85D3C" w:rsidRDefault="00F461E0" w:rsidP="00E64A04">
            <w:pPr>
              <w:rPr>
                <w:sz w:val="22"/>
                <w:szCs w:val="22"/>
              </w:rPr>
            </w:pPr>
            <w:r>
              <w:rPr>
                <w:sz w:val="22"/>
                <w:szCs w:val="22"/>
              </w:rPr>
              <w:t>+</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Saxifraga</w:t>
            </w:r>
            <w:proofErr w:type="spellEnd"/>
            <w:r w:rsidRPr="00000AF6">
              <w:rPr>
                <w:i/>
                <w:sz w:val="22"/>
                <w:szCs w:val="22"/>
              </w:rPr>
              <w:t xml:space="preserve"> </w:t>
            </w:r>
          </w:p>
          <w:p w:rsidR="00F461E0" w:rsidRPr="00000AF6" w:rsidRDefault="00F461E0" w:rsidP="00E64A04">
            <w:pPr>
              <w:rPr>
                <w:i/>
                <w:sz w:val="22"/>
                <w:szCs w:val="22"/>
              </w:rPr>
            </w:pPr>
            <w:proofErr w:type="spellStart"/>
            <w:r w:rsidRPr="00000AF6">
              <w:rPr>
                <w:i/>
                <w:sz w:val="22"/>
                <w:szCs w:val="22"/>
              </w:rPr>
              <w:t>nanella</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F85D3C">
              <w:rPr>
                <w:sz w:val="22"/>
                <w:szCs w:val="22"/>
              </w:rPr>
              <w:fldChar w:fldCharType="separate"/>
            </w:r>
            <w:r w:rsidRPr="00F85D3C">
              <w:rPr>
                <w:noProof/>
                <w:sz w:val="22"/>
                <w:szCs w:val="22"/>
              </w:rPr>
              <w:t>Klimeš &amp; Dolezal 2010</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Stellaria</w:t>
            </w:r>
            <w:proofErr w:type="spellEnd"/>
            <w:r w:rsidRPr="00000AF6">
              <w:rPr>
                <w:i/>
                <w:sz w:val="22"/>
                <w:szCs w:val="22"/>
              </w:rPr>
              <w:t xml:space="preserve"> </w:t>
            </w:r>
            <w:proofErr w:type="spellStart"/>
            <w:r w:rsidRPr="00000AF6">
              <w:rPr>
                <w:i/>
                <w:sz w:val="22"/>
                <w:szCs w:val="22"/>
              </w:rPr>
              <w:t>depressa</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F85D3C">
              <w:rPr>
                <w:sz w:val="22"/>
                <w:szCs w:val="22"/>
              </w:rPr>
              <w:fldChar w:fldCharType="separate"/>
            </w:r>
            <w:r w:rsidRPr="00F85D3C">
              <w:rPr>
                <w:noProof/>
                <w:sz w:val="22"/>
                <w:szCs w:val="22"/>
              </w:rPr>
              <w:t>Klimeš &amp; Dolezal 2010</w:t>
            </w:r>
            <w:r w:rsidRPr="00F85D3C">
              <w:rPr>
                <w:sz w:val="22"/>
                <w:szCs w:val="22"/>
              </w:rPr>
              <w:fldChar w:fldCharType="end"/>
            </w:r>
          </w:p>
        </w:tc>
        <w:tc>
          <w:tcPr>
            <w:tcW w:w="944" w:type="dxa"/>
          </w:tcPr>
          <w:p w:rsidR="00F461E0" w:rsidRPr="00F85D3C" w:rsidRDefault="00F461E0" w:rsidP="00E64A04">
            <w:pPr>
              <w:rPr>
                <w:sz w:val="22"/>
                <w:szCs w:val="22"/>
              </w:rPr>
            </w:pPr>
            <w:r w:rsidRPr="00F85D3C">
              <w:rPr>
                <w:sz w:val="22"/>
                <w:szCs w:val="22"/>
              </w:rPr>
              <w:t xml:space="preserve">- </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Pr>
          <w:p w:rsidR="00F461E0" w:rsidRPr="00000AF6" w:rsidRDefault="00F461E0" w:rsidP="00E64A04">
            <w:pPr>
              <w:rPr>
                <w:i/>
                <w:sz w:val="22"/>
                <w:szCs w:val="22"/>
              </w:rPr>
            </w:pPr>
            <w:proofErr w:type="spellStart"/>
            <w:r w:rsidRPr="00000AF6">
              <w:rPr>
                <w:i/>
                <w:sz w:val="22"/>
                <w:szCs w:val="22"/>
              </w:rPr>
              <w:t>Thaumetopoea</w:t>
            </w:r>
            <w:proofErr w:type="spellEnd"/>
            <w:r w:rsidRPr="00000AF6">
              <w:rPr>
                <w:i/>
                <w:sz w:val="22"/>
                <w:szCs w:val="22"/>
              </w:rPr>
              <w:t xml:space="preserve"> </w:t>
            </w:r>
            <w:proofErr w:type="spellStart"/>
            <w:r w:rsidRPr="00000AF6">
              <w:rPr>
                <w:i/>
                <w:sz w:val="22"/>
                <w:szCs w:val="22"/>
              </w:rPr>
              <w:t>pityocampa</w:t>
            </w:r>
            <w:proofErr w:type="spellEnd"/>
          </w:p>
        </w:tc>
        <w:tc>
          <w:tcPr>
            <w:tcW w:w="1466" w:type="dxa"/>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"(Battisti &lt;i&gt;et al.&lt;/i&gt; 2005)", "manualFormatting": "Battisti et al. 2005"}, "citationItems": [{"uris": ["http://www.mendeley.com/documents/?uuid=1b86beef-ca63-4a80-9433-39c92d4565b9"], "id": "ITEM-1", "itemData": {"DOI": "10.1890/04-1903", "type": "article-journal", "author": [{"given": "Andrea", "dropping-particle": "", "suffix": "", "family": "Battisti", "parse-names": false, "non-dropping-particle": ""}, {"given": "Michael", "dropping-particle": "", "suffix": "", "family": "Stastny", "parse-names": false, "non-dropping-particle": ""}, {"given": "Sigrid", "dropping-particle": "", "suffix": "", "family": "Netherer", "parse-names": false, "non-dropping-particle": ""}, {"given": "Christelle", "dropping-particle": "", "suffix": "", "family": "Robinet", "parse-names": false, "non-dropping-particle": ""}, {"given": "Axel", "dropping-particle": "", "suffix": "", "family": "Schopf", "parse-names": false, "non-dropping-particle": ""}, {"given": "Alain", "dropping-particle": "", "suffix": "", "family": "Roques", "parse-names": false, "non-dropping-particle": ""}, {"given": "Stig", "dropping-particle": "", "suffix": "", "family": "Larsson", "parse-names": false, "non-dropping-particle": ""}], "issued": {"date-parts": [["2005", "12"]]}, "abstract": "Global warming is predicted to cause distributional changes in organisms whose geographic ranges are controlled by temperature. We report a recent latitudinal and altitudinal expansion of the pine processionary moth, Thaumetopoea pityocampa, whose larvae build silk nests and feed on pine foliage in the winter. In north-central France (Paris Basin), its range boundary. has shifted by 87 km northwards between 1972 and 2004; in northern Italy (Alps), an altitudinal shift of 110-230 in upwards occurred between 1975 and 2004. By experimentally linking Winter temperature, feeding activity, and survival of T. pityocampa larvae, we attribute the expansions to increased winter survival due to a warming trend over the past three decades. In the laboratory we determined the minimum nest and night air temperatures required for larval feeding and developed a mechanistic model based on these temperature thresholds. We tested the model in a translocation experiment that employed natural temperature gradients as spatial analogues for global warming. In all transects we transferred colonies of T. pityocampa larvae to sites within zones of historical distribution, recent distribution, and outside the present range. We monitored air and nest temperature, incoming solar radiation, larval phenology, feeding activity, and survival. Early-season temperature effects on phenology were evident with delayed development of colonies in the more extreme (colder) sites. In the coldest months, our model was consistent With the observed patterns of feeding activity: Feeding was, progressively reduced with increasing latitude,or elevation, as predicted by the lower number of hours when the feeding threshold was reached, which negatively affected final survival. Insolation raised nest temperature and increased feeding activity on the south but not the north aspect. Prolonged temperature drops below the feeding thresholds occurred at all-sites, leading to starvation and partial mortality. Nonetheless, even the most extreme sites still allowed some feeding and, consequently, up to 20% colony survival and successful pupation. Given that the present distribution of the oligophagous T. pityocampa is not constrained by the distribution of its actual or potential hosts, and that warmer winters will cause the number of hours of feeding to increase and the probability of the lower lethal temperature to decrease, we expect the trend of improved survival in previously prohibitive environments to co\u2026", "ISSN": "1051-0761", "page": "2084-2096", "volume": "15", "container-title": "Ecological Applications", "title": "Expansion of geographic range in the pine processionary moth caused by increased winter temperatures", "issue": "6", "id": "ITEM-1"}}], "properties": {"noteIndex": 0}, "schema": "https://github.com/citation-style-language/schema/raw/master/csl-citation.json"}</w:instrText>
            </w:r>
            <w:r w:rsidRPr="00F85D3C">
              <w:rPr>
                <w:sz w:val="22"/>
                <w:szCs w:val="22"/>
              </w:rPr>
              <w:fldChar w:fldCharType="separate"/>
            </w:r>
            <w:r w:rsidRPr="00F85D3C">
              <w:rPr>
                <w:noProof/>
                <w:sz w:val="22"/>
                <w:szCs w:val="22"/>
              </w:rPr>
              <w:t>Battisti et al. 2005</w:t>
            </w:r>
            <w:r w:rsidRPr="00F85D3C">
              <w:rPr>
                <w:sz w:val="22"/>
                <w:szCs w:val="22"/>
              </w:rPr>
              <w:fldChar w:fldCharType="end"/>
            </w:r>
          </w:p>
        </w:tc>
        <w:tc>
          <w:tcPr>
            <w:tcW w:w="944" w:type="dxa"/>
          </w:tcPr>
          <w:p w:rsidR="00F461E0" w:rsidRPr="00F85D3C" w:rsidRDefault="00F461E0" w:rsidP="00E64A04">
            <w:pPr>
              <w:rPr>
                <w:sz w:val="22"/>
                <w:szCs w:val="22"/>
              </w:rPr>
            </w:pPr>
            <w:r>
              <w:rPr>
                <w:sz w:val="22"/>
                <w:szCs w:val="22"/>
              </w:rPr>
              <w:t>-</w:t>
            </w:r>
          </w:p>
        </w:tc>
        <w:tc>
          <w:tcPr>
            <w:tcW w:w="1151" w:type="dxa"/>
          </w:tcPr>
          <w:p w:rsidR="00F461E0" w:rsidRPr="0056347D" w:rsidRDefault="00F461E0" w:rsidP="00E64A04">
            <w:pPr>
              <w:rPr>
                <w:bCs/>
                <w:sz w:val="22"/>
                <w:szCs w:val="22"/>
              </w:rPr>
            </w:pPr>
            <w:r w:rsidRPr="0056347D">
              <w:rPr>
                <w:bCs/>
                <w:sz w:val="22"/>
                <w:szCs w:val="22"/>
              </w:rPr>
              <w:t>-</w:t>
            </w:r>
          </w:p>
        </w:tc>
        <w:tc>
          <w:tcPr>
            <w:tcW w:w="1134" w:type="dxa"/>
          </w:tcPr>
          <w:p w:rsidR="00F461E0" w:rsidRPr="00003FFF" w:rsidRDefault="00F461E0" w:rsidP="00E64A04">
            <w:pPr>
              <w:rPr>
                <w:bCs/>
                <w:sz w:val="22"/>
                <w:szCs w:val="22"/>
              </w:rPr>
            </w:pPr>
            <w:r w:rsidRPr="00003FFF">
              <w:rPr>
                <w:bCs/>
                <w:sz w:val="22"/>
                <w:szCs w:val="22"/>
              </w:rPr>
              <w:t>+</w:t>
            </w:r>
          </w:p>
        </w:tc>
        <w:tc>
          <w:tcPr>
            <w:tcW w:w="1276" w:type="dxa"/>
          </w:tcPr>
          <w:p w:rsidR="00F461E0" w:rsidRPr="00F846BA" w:rsidRDefault="00F461E0" w:rsidP="00E64A04">
            <w:pPr>
              <w:rPr>
                <w:bCs/>
                <w:sz w:val="22"/>
                <w:szCs w:val="22"/>
              </w:rPr>
            </w:pPr>
            <w:r w:rsidRPr="00F846BA">
              <w:rPr>
                <w:bCs/>
                <w:sz w:val="22"/>
                <w:szCs w:val="22"/>
              </w:rPr>
              <w:t>-</w:t>
            </w:r>
          </w:p>
        </w:tc>
        <w:tc>
          <w:tcPr>
            <w:tcW w:w="1132" w:type="dxa"/>
          </w:tcPr>
          <w:p w:rsidR="00F461E0" w:rsidRPr="00347972" w:rsidRDefault="00F461E0" w:rsidP="00E64A04">
            <w:pPr>
              <w:rPr>
                <w:bCs/>
                <w:sz w:val="22"/>
                <w:szCs w:val="22"/>
              </w:rPr>
            </w:pPr>
            <w:r w:rsidRPr="00347972">
              <w:rPr>
                <w:bCs/>
                <w:sz w:val="22"/>
                <w:szCs w:val="22"/>
              </w:rPr>
              <w:t>-</w:t>
            </w:r>
          </w:p>
        </w:tc>
        <w:tc>
          <w:tcPr>
            <w:tcW w:w="1271" w:type="dxa"/>
          </w:tcPr>
          <w:p w:rsidR="00F461E0" w:rsidRPr="00B0712B" w:rsidRDefault="00F461E0" w:rsidP="00E64A04">
            <w:pPr>
              <w:rPr>
                <w:bCs/>
                <w:sz w:val="22"/>
                <w:szCs w:val="22"/>
              </w:rPr>
            </w:pPr>
            <w:r w:rsidRPr="00B0712B">
              <w:rPr>
                <w:bCs/>
                <w:sz w:val="22"/>
                <w:szCs w:val="22"/>
              </w:rPr>
              <w:t>-</w:t>
            </w:r>
          </w:p>
        </w:tc>
        <w:tc>
          <w:tcPr>
            <w:tcW w:w="1283" w:type="dxa"/>
          </w:tcPr>
          <w:p w:rsidR="00F461E0" w:rsidRPr="009E5743" w:rsidRDefault="00F461E0" w:rsidP="00E64A04">
            <w:pPr>
              <w:rPr>
                <w:bCs/>
                <w:sz w:val="22"/>
                <w:szCs w:val="22"/>
              </w:rPr>
            </w:pPr>
            <w:r w:rsidRPr="009E5743">
              <w:rPr>
                <w:bCs/>
                <w:sz w:val="22"/>
                <w:szCs w:val="22"/>
              </w:rPr>
              <w:t>+</w:t>
            </w:r>
          </w:p>
        </w:tc>
      </w:tr>
      <w:tr w:rsidR="00F461E0" w:rsidRPr="00F85D3C" w:rsidTr="00F461E0">
        <w:tc>
          <w:tcPr>
            <w:tcW w:w="1768" w:type="dxa"/>
            <w:tcBorders>
              <w:bottom w:val="single" w:sz="4" w:space="0" w:color="auto"/>
            </w:tcBorders>
          </w:tcPr>
          <w:p w:rsidR="00F461E0" w:rsidRPr="00000AF6" w:rsidRDefault="00F461E0" w:rsidP="00E64A04">
            <w:pPr>
              <w:rPr>
                <w:i/>
                <w:sz w:val="22"/>
                <w:szCs w:val="22"/>
              </w:rPr>
            </w:pPr>
            <w:proofErr w:type="spellStart"/>
            <w:r w:rsidRPr="00000AF6">
              <w:rPr>
                <w:i/>
                <w:sz w:val="22"/>
                <w:szCs w:val="22"/>
              </w:rPr>
              <w:t>Waldheimia</w:t>
            </w:r>
            <w:proofErr w:type="spellEnd"/>
            <w:r w:rsidRPr="00000AF6">
              <w:rPr>
                <w:i/>
                <w:sz w:val="22"/>
                <w:szCs w:val="22"/>
              </w:rPr>
              <w:t xml:space="preserve"> </w:t>
            </w:r>
            <w:proofErr w:type="spellStart"/>
            <w:r w:rsidRPr="00000AF6">
              <w:rPr>
                <w:i/>
                <w:sz w:val="22"/>
                <w:szCs w:val="22"/>
              </w:rPr>
              <w:t>tridactylites</w:t>
            </w:r>
            <w:proofErr w:type="spellEnd"/>
          </w:p>
        </w:tc>
        <w:tc>
          <w:tcPr>
            <w:tcW w:w="1466" w:type="dxa"/>
            <w:tcBorders>
              <w:bottom w:val="single" w:sz="4" w:space="0" w:color="auto"/>
            </w:tcBorders>
          </w:tcPr>
          <w:p w:rsidR="00F461E0" w:rsidRPr="00F85D3C" w:rsidRDefault="00F461E0" w:rsidP="00E64A04">
            <w:pPr>
              <w:rPr>
                <w:sz w:val="22"/>
                <w:szCs w:val="22"/>
              </w:rPr>
            </w:pPr>
            <w:r w:rsidRPr="00F85D3C">
              <w:rPr>
                <w:sz w:val="22"/>
                <w:szCs w:val="22"/>
              </w:rPr>
              <w:fldChar w:fldCharType="begin"/>
            </w:r>
            <w:r w:rsidRPr="00F85D3C">
              <w:rPr>
                <w:sz w:val="22"/>
                <w:szCs w:val="22"/>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F85D3C">
              <w:rPr>
                <w:sz w:val="22"/>
                <w:szCs w:val="22"/>
              </w:rPr>
              <w:fldChar w:fldCharType="separate"/>
            </w:r>
            <w:r w:rsidRPr="00F85D3C">
              <w:rPr>
                <w:noProof/>
                <w:sz w:val="22"/>
                <w:szCs w:val="22"/>
              </w:rPr>
              <w:t>Klimeš &amp; Dolezal 2010</w:t>
            </w:r>
            <w:r w:rsidRPr="00F85D3C">
              <w:rPr>
                <w:sz w:val="22"/>
                <w:szCs w:val="22"/>
              </w:rPr>
              <w:fldChar w:fldCharType="end"/>
            </w:r>
          </w:p>
        </w:tc>
        <w:tc>
          <w:tcPr>
            <w:tcW w:w="944" w:type="dxa"/>
            <w:tcBorders>
              <w:bottom w:val="single" w:sz="4" w:space="0" w:color="auto"/>
            </w:tcBorders>
          </w:tcPr>
          <w:p w:rsidR="00F461E0" w:rsidRPr="00F85D3C" w:rsidRDefault="00F461E0" w:rsidP="00E64A04">
            <w:pPr>
              <w:rPr>
                <w:sz w:val="22"/>
                <w:szCs w:val="22"/>
              </w:rPr>
            </w:pPr>
            <w:r w:rsidRPr="00F85D3C">
              <w:rPr>
                <w:sz w:val="22"/>
                <w:szCs w:val="22"/>
              </w:rPr>
              <w:t xml:space="preserve">+ </w:t>
            </w:r>
          </w:p>
        </w:tc>
        <w:tc>
          <w:tcPr>
            <w:tcW w:w="1151" w:type="dxa"/>
            <w:tcBorders>
              <w:bottom w:val="single" w:sz="4" w:space="0" w:color="auto"/>
            </w:tcBorders>
          </w:tcPr>
          <w:p w:rsidR="00F461E0" w:rsidRPr="0056347D" w:rsidRDefault="00F461E0" w:rsidP="00E64A04">
            <w:pPr>
              <w:rPr>
                <w:bCs/>
                <w:sz w:val="22"/>
                <w:szCs w:val="22"/>
              </w:rPr>
            </w:pPr>
            <w:r w:rsidRPr="0056347D">
              <w:rPr>
                <w:bCs/>
                <w:sz w:val="22"/>
                <w:szCs w:val="22"/>
              </w:rPr>
              <w:t>-</w:t>
            </w:r>
          </w:p>
        </w:tc>
        <w:tc>
          <w:tcPr>
            <w:tcW w:w="1134" w:type="dxa"/>
            <w:tcBorders>
              <w:bottom w:val="single" w:sz="4" w:space="0" w:color="auto"/>
            </w:tcBorders>
          </w:tcPr>
          <w:p w:rsidR="00F461E0" w:rsidRPr="00003FFF" w:rsidRDefault="00F461E0" w:rsidP="00E64A04">
            <w:pPr>
              <w:rPr>
                <w:bCs/>
                <w:sz w:val="22"/>
                <w:szCs w:val="22"/>
              </w:rPr>
            </w:pPr>
            <w:r w:rsidRPr="00003FFF">
              <w:rPr>
                <w:bCs/>
                <w:sz w:val="22"/>
                <w:szCs w:val="22"/>
              </w:rPr>
              <w:t>-</w:t>
            </w:r>
          </w:p>
        </w:tc>
        <w:tc>
          <w:tcPr>
            <w:tcW w:w="1276" w:type="dxa"/>
            <w:tcBorders>
              <w:bottom w:val="single" w:sz="4" w:space="0" w:color="auto"/>
            </w:tcBorders>
          </w:tcPr>
          <w:p w:rsidR="00F461E0" w:rsidRPr="00F846BA" w:rsidRDefault="00F461E0" w:rsidP="00E64A04">
            <w:pPr>
              <w:rPr>
                <w:bCs/>
                <w:sz w:val="22"/>
                <w:szCs w:val="22"/>
              </w:rPr>
            </w:pPr>
            <w:r w:rsidRPr="00F846BA">
              <w:rPr>
                <w:bCs/>
                <w:sz w:val="22"/>
                <w:szCs w:val="22"/>
              </w:rPr>
              <w:t>-</w:t>
            </w:r>
          </w:p>
        </w:tc>
        <w:tc>
          <w:tcPr>
            <w:tcW w:w="1132" w:type="dxa"/>
            <w:tcBorders>
              <w:bottom w:val="single" w:sz="4" w:space="0" w:color="auto"/>
            </w:tcBorders>
          </w:tcPr>
          <w:p w:rsidR="00F461E0" w:rsidRPr="00347972" w:rsidRDefault="00F461E0" w:rsidP="00E64A04">
            <w:pPr>
              <w:rPr>
                <w:bCs/>
                <w:sz w:val="22"/>
                <w:szCs w:val="22"/>
              </w:rPr>
            </w:pPr>
            <w:r w:rsidRPr="00347972">
              <w:rPr>
                <w:bCs/>
                <w:sz w:val="22"/>
                <w:szCs w:val="22"/>
              </w:rPr>
              <w:t>-</w:t>
            </w:r>
          </w:p>
        </w:tc>
        <w:tc>
          <w:tcPr>
            <w:tcW w:w="1271" w:type="dxa"/>
            <w:tcBorders>
              <w:bottom w:val="single" w:sz="4" w:space="0" w:color="auto"/>
            </w:tcBorders>
          </w:tcPr>
          <w:p w:rsidR="00F461E0" w:rsidRPr="00B0712B" w:rsidRDefault="00F461E0" w:rsidP="00E64A04">
            <w:pPr>
              <w:rPr>
                <w:bCs/>
                <w:sz w:val="22"/>
                <w:szCs w:val="22"/>
              </w:rPr>
            </w:pPr>
            <w:r w:rsidRPr="00B0712B">
              <w:rPr>
                <w:bCs/>
                <w:sz w:val="22"/>
                <w:szCs w:val="22"/>
              </w:rPr>
              <w:t>-</w:t>
            </w:r>
          </w:p>
        </w:tc>
        <w:tc>
          <w:tcPr>
            <w:tcW w:w="1283" w:type="dxa"/>
            <w:tcBorders>
              <w:bottom w:val="single" w:sz="4" w:space="0" w:color="auto"/>
            </w:tcBorders>
          </w:tcPr>
          <w:p w:rsidR="00F461E0" w:rsidRPr="009E5743" w:rsidRDefault="00F461E0" w:rsidP="00E64A04">
            <w:pPr>
              <w:rPr>
                <w:bCs/>
                <w:sz w:val="22"/>
                <w:szCs w:val="22"/>
              </w:rPr>
            </w:pPr>
            <w:r w:rsidRPr="009E5743">
              <w:rPr>
                <w:bCs/>
                <w:sz w:val="22"/>
                <w:szCs w:val="22"/>
              </w:rPr>
              <w:t>-</w:t>
            </w:r>
          </w:p>
        </w:tc>
      </w:tr>
    </w:tbl>
    <w:p w:rsidR="00F574AE" w:rsidRDefault="00F574AE" w:rsidP="00DD0B16">
      <w:pPr>
        <w:sectPr w:rsidR="00F574AE">
          <w:footerReference w:type="even" r:id="rId9"/>
          <w:footerReference w:type="default" r:id="rId10"/>
          <w:pgSz w:w="15842" w:h="12242" w:orient="landscape"/>
          <w:pgMar w:top="1418" w:right="1440" w:bottom="1418" w:left="1440" w:header="709" w:footer="709" w:gutter="0"/>
          <w:lnNumType w:countBy="1" w:restart="continuous"/>
          <w:cols w:space="708"/>
        </w:sectPr>
      </w:pPr>
    </w:p>
    <w:p w:rsidR="00DD0B16" w:rsidRDefault="00E92599" w:rsidP="00DD0B16">
      <w:r>
        <w:rPr>
          <w:noProof/>
        </w:rPr>
        <w:lastRenderedPageBreak/>
        <w:drawing>
          <wp:inline distT="0" distB="0" distL="0" distR="0">
            <wp:extent cx="5971540" cy="5971540"/>
            <wp:effectExtent l="0" t="0" r="0" b="0"/>
            <wp:docPr id="2" name="Picture 1" descr="FigS3-1_spp1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3-1_spp19.pdf"/>
                    <pic:cNvPicPr/>
                  </pic:nvPicPr>
                  <pic:blipFill>
                    <a:blip r:embed="rId11"/>
                    <a:stretch>
                      <a:fillRect/>
                    </a:stretch>
                  </pic:blipFill>
                  <pic:spPr>
                    <a:xfrm>
                      <a:off x="0" y="0"/>
                      <a:ext cx="5971540" cy="5971540"/>
                    </a:xfrm>
                    <a:prstGeom prst="rect">
                      <a:avLst/>
                    </a:prstGeom>
                  </pic:spPr>
                </pic:pic>
              </a:graphicData>
            </a:graphic>
          </wp:inline>
        </w:drawing>
      </w:r>
    </w:p>
    <w:p w:rsidR="00DD0B16" w:rsidRDefault="00DD0B16" w:rsidP="00DD0B16">
      <w:r>
        <w:t xml:space="preserve">Figure S3-1. </w:t>
      </w:r>
      <w:r w:rsidR="00F400BD">
        <w:t>Example of the different types of background extents examin</w:t>
      </w:r>
      <w:r w:rsidR="007B6254">
        <w:t>ed in the</w:t>
      </w:r>
      <w:r w:rsidR="00E92599">
        <w:t xml:space="preserve"> ENM sensitivity analyses</w:t>
      </w:r>
      <w:r w:rsidR="00FD2DCC">
        <w:t xml:space="preserve">. </w:t>
      </w:r>
      <w:r w:rsidR="00E92599">
        <w:t>Blue</w:t>
      </w:r>
      <w:r>
        <w:t xml:space="preserve">, </w:t>
      </w:r>
      <w:r w:rsidR="00E92599">
        <w:t>green</w:t>
      </w:r>
      <w:r>
        <w:t xml:space="preserve"> and </w:t>
      </w:r>
      <w:r w:rsidR="00E92599">
        <w:t xml:space="preserve">red </w:t>
      </w:r>
      <w:r>
        <w:t>lines</w:t>
      </w:r>
      <w:r w:rsidR="00E92599">
        <w:t xml:space="preserve"> represent the MCP, buffered-points and 200 km rectangular backgrounds </w:t>
      </w:r>
      <w:r w:rsidR="00FD2DCC">
        <w:t xml:space="preserve">(respectively) for </w:t>
      </w:r>
      <w:proofErr w:type="spellStart"/>
      <w:r w:rsidR="00FD2DCC" w:rsidRPr="006C48AF">
        <w:rPr>
          <w:i/>
        </w:rPr>
        <w:t>Aphragmus</w:t>
      </w:r>
      <w:proofErr w:type="spellEnd"/>
      <w:r w:rsidR="00FD2DCC" w:rsidRPr="006C48AF">
        <w:rPr>
          <w:i/>
        </w:rPr>
        <w:t xml:space="preserve"> </w:t>
      </w:r>
      <w:proofErr w:type="spellStart"/>
      <w:r w:rsidR="00FD2DCC" w:rsidRPr="006C48AF">
        <w:rPr>
          <w:i/>
        </w:rPr>
        <w:t>oxycarpus</w:t>
      </w:r>
      <w:proofErr w:type="spellEnd"/>
      <w:r w:rsidR="00FD2DCC">
        <w:rPr>
          <w:i/>
        </w:rPr>
        <w:t xml:space="preserve"> </w:t>
      </w:r>
      <w:r w:rsidR="00E92599">
        <w:t>and were generated based on the locality data for this species (black circles). The grey shading depicts part of Central Asia, the continent on which the species is found.</w:t>
      </w:r>
      <w:r w:rsidR="00FD2DCC">
        <w:t xml:space="preserve"> The axes give latitude and longitude (</w:t>
      </w:r>
      <w:proofErr w:type="spellStart"/>
      <w:r w:rsidR="00FD2DCC">
        <w:t>albers</w:t>
      </w:r>
      <w:proofErr w:type="spellEnd"/>
      <w:r w:rsidR="00FD2DCC">
        <w:t xml:space="preserve"> equal area projection). </w:t>
      </w:r>
    </w:p>
    <w:p w:rsidR="00A27616" w:rsidRDefault="00A27616" w:rsidP="00D47DF8"/>
    <w:sectPr w:rsidR="00A27616" w:rsidSect="00A27616">
      <w:pgSz w:w="12240" w:h="15840"/>
      <w:pgMar w:top="1440" w:right="1418" w:bottom="1440" w:left="1418" w:header="709" w:footer="709" w:gutter="0"/>
      <w:lnNumType w:countBy="1"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673" w:rsidRDefault="00A71673">
      <w:r>
        <w:separator/>
      </w:r>
    </w:p>
  </w:endnote>
  <w:endnote w:type="continuationSeparator" w:id="0">
    <w:p w:rsidR="00A71673" w:rsidRDefault="00A7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599" w:rsidRDefault="00F714DC" w:rsidP="00A27616">
    <w:pPr>
      <w:pStyle w:val="Footer"/>
      <w:framePr w:wrap="around" w:vAnchor="text" w:hAnchor="margin" w:xAlign="right" w:y="1"/>
      <w:rPr>
        <w:rStyle w:val="PageNumber"/>
      </w:rPr>
    </w:pPr>
    <w:r>
      <w:rPr>
        <w:rStyle w:val="PageNumber"/>
      </w:rPr>
      <w:fldChar w:fldCharType="begin"/>
    </w:r>
    <w:r w:rsidR="00E92599">
      <w:rPr>
        <w:rStyle w:val="PageNumber"/>
      </w:rPr>
      <w:instrText xml:space="preserve">PAGE  </w:instrText>
    </w:r>
    <w:r>
      <w:rPr>
        <w:rStyle w:val="PageNumber"/>
      </w:rPr>
      <w:fldChar w:fldCharType="end"/>
    </w:r>
  </w:p>
  <w:p w:rsidR="00E92599" w:rsidRDefault="00E92599" w:rsidP="00A27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599" w:rsidRDefault="00F714DC" w:rsidP="00A27616">
    <w:pPr>
      <w:pStyle w:val="Footer"/>
      <w:framePr w:wrap="around" w:vAnchor="text" w:hAnchor="margin" w:xAlign="right" w:y="1"/>
      <w:rPr>
        <w:rStyle w:val="PageNumber"/>
      </w:rPr>
    </w:pPr>
    <w:r>
      <w:rPr>
        <w:rStyle w:val="PageNumber"/>
      </w:rPr>
      <w:fldChar w:fldCharType="begin"/>
    </w:r>
    <w:r w:rsidR="00E92599">
      <w:rPr>
        <w:rStyle w:val="PageNumber"/>
      </w:rPr>
      <w:instrText xml:space="preserve">PAGE  </w:instrText>
    </w:r>
    <w:r>
      <w:rPr>
        <w:rStyle w:val="PageNumber"/>
      </w:rPr>
      <w:fldChar w:fldCharType="separate"/>
    </w:r>
    <w:r w:rsidR="00F461E0">
      <w:rPr>
        <w:rStyle w:val="PageNumber"/>
        <w:noProof/>
      </w:rPr>
      <w:t>5</w:t>
    </w:r>
    <w:r>
      <w:rPr>
        <w:rStyle w:val="PageNumber"/>
      </w:rPr>
      <w:fldChar w:fldCharType="end"/>
    </w:r>
  </w:p>
  <w:p w:rsidR="00E92599" w:rsidRDefault="00E92599" w:rsidP="00A276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AE" w:rsidRDefault="00F714DC" w:rsidP="00361E61">
    <w:pPr>
      <w:pStyle w:val="Footer"/>
      <w:framePr w:wrap="around" w:vAnchor="text" w:hAnchor="margin" w:xAlign="right" w:y="1"/>
      <w:rPr>
        <w:rStyle w:val="PageNumber"/>
      </w:rPr>
    </w:pPr>
    <w:r>
      <w:rPr>
        <w:rStyle w:val="PageNumber"/>
      </w:rPr>
      <w:fldChar w:fldCharType="begin"/>
    </w:r>
    <w:r w:rsidR="00F574AE">
      <w:rPr>
        <w:rStyle w:val="PageNumber"/>
      </w:rPr>
      <w:instrText xml:space="preserve">PAGE  </w:instrText>
    </w:r>
    <w:r>
      <w:rPr>
        <w:rStyle w:val="PageNumber"/>
      </w:rPr>
      <w:fldChar w:fldCharType="end"/>
    </w:r>
  </w:p>
  <w:p w:rsidR="00F574AE" w:rsidRDefault="00F574AE" w:rsidP="00E76CE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AE" w:rsidRDefault="00F714DC" w:rsidP="00361E61">
    <w:pPr>
      <w:pStyle w:val="Footer"/>
      <w:framePr w:wrap="around" w:vAnchor="text" w:hAnchor="margin" w:xAlign="right" w:y="1"/>
      <w:rPr>
        <w:rStyle w:val="PageNumber"/>
      </w:rPr>
    </w:pPr>
    <w:r>
      <w:rPr>
        <w:rStyle w:val="PageNumber"/>
      </w:rPr>
      <w:fldChar w:fldCharType="begin"/>
    </w:r>
    <w:r w:rsidR="00F574AE">
      <w:rPr>
        <w:rStyle w:val="PageNumber"/>
      </w:rPr>
      <w:instrText xml:space="preserve">PAGE  </w:instrText>
    </w:r>
    <w:r>
      <w:rPr>
        <w:rStyle w:val="PageNumber"/>
      </w:rPr>
      <w:fldChar w:fldCharType="separate"/>
    </w:r>
    <w:r w:rsidR="00F461E0">
      <w:rPr>
        <w:rStyle w:val="PageNumber"/>
        <w:noProof/>
      </w:rPr>
      <w:t>6</w:t>
    </w:r>
    <w:r>
      <w:rPr>
        <w:rStyle w:val="PageNumber"/>
      </w:rPr>
      <w:fldChar w:fldCharType="end"/>
    </w:r>
  </w:p>
  <w:p w:rsidR="00F574AE" w:rsidRDefault="00F574AE" w:rsidP="00E76C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673" w:rsidRDefault="00A71673">
      <w:r>
        <w:separator/>
      </w:r>
    </w:p>
  </w:footnote>
  <w:footnote w:type="continuationSeparator" w:id="0">
    <w:p w:rsidR="00A71673" w:rsidRDefault="00A71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1E46"/>
    <w:multiLevelType w:val="hybridMultilevel"/>
    <w:tmpl w:val="A83A4A76"/>
    <w:lvl w:ilvl="0" w:tplc="0BC87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A01F8"/>
    <w:multiLevelType w:val="hybridMultilevel"/>
    <w:tmpl w:val="83B2C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E5C64"/>
    <w:multiLevelType w:val="hybridMultilevel"/>
    <w:tmpl w:val="34A4BF34"/>
    <w:lvl w:ilvl="0" w:tplc="73C48F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04116"/>
    <w:multiLevelType w:val="hybridMultilevel"/>
    <w:tmpl w:val="CA8E3BF4"/>
    <w:lvl w:ilvl="0" w:tplc="32C4DF7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F3A69"/>
    <w:multiLevelType w:val="hybridMultilevel"/>
    <w:tmpl w:val="0ADC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C5A1B"/>
    <w:multiLevelType w:val="hybridMultilevel"/>
    <w:tmpl w:val="2318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1597E"/>
    <w:multiLevelType w:val="hybridMultilevel"/>
    <w:tmpl w:val="6AB8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17D2F"/>
    <w:multiLevelType w:val="hybridMultilevel"/>
    <w:tmpl w:val="96500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80F4E"/>
    <w:multiLevelType w:val="hybridMultilevel"/>
    <w:tmpl w:val="FEB29BA8"/>
    <w:lvl w:ilvl="0" w:tplc="2A3242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36AD8"/>
    <w:multiLevelType w:val="hybridMultilevel"/>
    <w:tmpl w:val="5258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6"/>
  </w:num>
  <w:num w:numId="5">
    <w:abstractNumId w:val="4"/>
  </w:num>
  <w:num w:numId="6">
    <w:abstractNumId w:val="5"/>
  </w:num>
  <w:num w:numId="7">
    <w:abstractNumId w:val="0"/>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97"/>
    <w:rsid w:val="000433BE"/>
    <w:rsid w:val="000C28D6"/>
    <w:rsid w:val="0010400C"/>
    <w:rsid w:val="00171754"/>
    <w:rsid w:val="001A2861"/>
    <w:rsid w:val="001A2B59"/>
    <w:rsid w:val="001C0F87"/>
    <w:rsid w:val="001C5F2E"/>
    <w:rsid w:val="00255A25"/>
    <w:rsid w:val="002F5A43"/>
    <w:rsid w:val="00311983"/>
    <w:rsid w:val="00330597"/>
    <w:rsid w:val="00343305"/>
    <w:rsid w:val="003D4730"/>
    <w:rsid w:val="003D6903"/>
    <w:rsid w:val="003D7874"/>
    <w:rsid w:val="00404B93"/>
    <w:rsid w:val="00426B97"/>
    <w:rsid w:val="004976E2"/>
    <w:rsid w:val="004F02E1"/>
    <w:rsid w:val="00515156"/>
    <w:rsid w:val="00533493"/>
    <w:rsid w:val="00570DAB"/>
    <w:rsid w:val="005B5840"/>
    <w:rsid w:val="00686E63"/>
    <w:rsid w:val="006A6CD3"/>
    <w:rsid w:val="006B071C"/>
    <w:rsid w:val="00744323"/>
    <w:rsid w:val="007B6254"/>
    <w:rsid w:val="007D0A5D"/>
    <w:rsid w:val="007D53EE"/>
    <w:rsid w:val="007F4278"/>
    <w:rsid w:val="0080426D"/>
    <w:rsid w:val="008950EC"/>
    <w:rsid w:val="008B2322"/>
    <w:rsid w:val="008E4A03"/>
    <w:rsid w:val="00922AB1"/>
    <w:rsid w:val="009910B9"/>
    <w:rsid w:val="00A27616"/>
    <w:rsid w:val="00A56277"/>
    <w:rsid w:val="00A611E5"/>
    <w:rsid w:val="00A71673"/>
    <w:rsid w:val="00AC5500"/>
    <w:rsid w:val="00B11189"/>
    <w:rsid w:val="00B84197"/>
    <w:rsid w:val="00BA482F"/>
    <w:rsid w:val="00C750D3"/>
    <w:rsid w:val="00CA102F"/>
    <w:rsid w:val="00CC28B3"/>
    <w:rsid w:val="00D0042E"/>
    <w:rsid w:val="00D05BA4"/>
    <w:rsid w:val="00D46503"/>
    <w:rsid w:val="00D47DF8"/>
    <w:rsid w:val="00DC0848"/>
    <w:rsid w:val="00DD0A40"/>
    <w:rsid w:val="00DD0B16"/>
    <w:rsid w:val="00DE7F13"/>
    <w:rsid w:val="00E2551A"/>
    <w:rsid w:val="00E61841"/>
    <w:rsid w:val="00E92599"/>
    <w:rsid w:val="00EB6DA8"/>
    <w:rsid w:val="00F400BD"/>
    <w:rsid w:val="00F461E0"/>
    <w:rsid w:val="00F574AE"/>
    <w:rsid w:val="00F714DC"/>
    <w:rsid w:val="00F7204D"/>
    <w:rsid w:val="00F73AF6"/>
    <w:rsid w:val="00FC1D1F"/>
    <w:rsid w:val="00FD2DCC"/>
    <w:rsid w:val="00FE7F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941D9-948A-4A27-8F95-0D28DB18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6B97"/>
    <w:rPr>
      <w:sz w:val="18"/>
      <w:szCs w:val="18"/>
    </w:rPr>
  </w:style>
  <w:style w:type="paragraph" w:styleId="CommentText">
    <w:name w:val="annotation text"/>
    <w:basedOn w:val="Normal"/>
    <w:link w:val="CommentTextChar"/>
    <w:uiPriority w:val="99"/>
    <w:unhideWhenUsed/>
    <w:rsid w:val="00426B97"/>
  </w:style>
  <w:style w:type="character" w:customStyle="1" w:styleId="CommentTextChar">
    <w:name w:val="Comment Text Char"/>
    <w:basedOn w:val="DefaultParagraphFont"/>
    <w:link w:val="CommentText"/>
    <w:uiPriority w:val="99"/>
    <w:rsid w:val="00426B97"/>
  </w:style>
  <w:style w:type="paragraph" w:styleId="BalloonText">
    <w:name w:val="Balloon Text"/>
    <w:basedOn w:val="Normal"/>
    <w:link w:val="BalloonTextChar"/>
    <w:uiPriority w:val="99"/>
    <w:semiHidden/>
    <w:unhideWhenUsed/>
    <w:rsid w:val="00426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6B97"/>
    <w:rPr>
      <w:rFonts w:ascii="Lucida Grande" w:hAnsi="Lucida Grande"/>
      <w:sz w:val="18"/>
      <w:szCs w:val="18"/>
    </w:rPr>
  </w:style>
  <w:style w:type="paragraph" w:styleId="Header">
    <w:name w:val="header"/>
    <w:basedOn w:val="Normal"/>
    <w:link w:val="HeaderChar"/>
    <w:rsid w:val="00426B97"/>
    <w:pPr>
      <w:tabs>
        <w:tab w:val="center" w:pos="4320"/>
        <w:tab w:val="right" w:pos="8640"/>
      </w:tabs>
    </w:pPr>
  </w:style>
  <w:style w:type="character" w:customStyle="1" w:styleId="HeaderChar">
    <w:name w:val="Header Char"/>
    <w:basedOn w:val="DefaultParagraphFont"/>
    <w:link w:val="Header"/>
    <w:rsid w:val="00426B97"/>
  </w:style>
  <w:style w:type="paragraph" w:styleId="Footer">
    <w:name w:val="footer"/>
    <w:basedOn w:val="Normal"/>
    <w:link w:val="FooterChar"/>
    <w:rsid w:val="00426B97"/>
    <w:pPr>
      <w:tabs>
        <w:tab w:val="center" w:pos="4320"/>
        <w:tab w:val="right" w:pos="8640"/>
      </w:tabs>
    </w:pPr>
  </w:style>
  <w:style w:type="character" w:customStyle="1" w:styleId="FooterChar">
    <w:name w:val="Footer Char"/>
    <w:basedOn w:val="DefaultParagraphFont"/>
    <w:link w:val="Footer"/>
    <w:rsid w:val="00426B97"/>
  </w:style>
  <w:style w:type="paragraph" w:styleId="CommentSubject">
    <w:name w:val="annotation subject"/>
    <w:basedOn w:val="CommentText"/>
    <w:next w:val="CommentText"/>
    <w:link w:val="CommentSubjectChar"/>
    <w:uiPriority w:val="99"/>
    <w:unhideWhenUsed/>
    <w:rsid w:val="00426B97"/>
    <w:rPr>
      <w:b/>
      <w:bCs/>
      <w:sz w:val="20"/>
      <w:szCs w:val="20"/>
    </w:rPr>
  </w:style>
  <w:style w:type="character" w:customStyle="1" w:styleId="CommentSubjectChar">
    <w:name w:val="Comment Subject Char"/>
    <w:basedOn w:val="CommentTextChar"/>
    <w:link w:val="CommentSubject"/>
    <w:uiPriority w:val="99"/>
    <w:rsid w:val="00426B97"/>
    <w:rPr>
      <w:b/>
      <w:bCs/>
      <w:sz w:val="20"/>
      <w:szCs w:val="20"/>
    </w:rPr>
  </w:style>
  <w:style w:type="paragraph" w:styleId="ListParagraph">
    <w:name w:val="List Paragraph"/>
    <w:basedOn w:val="Normal"/>
    <w:uiPriority w:val="34"/>
    <w:qFormat/>
    <w:rsid w:val="00426B97"/>
    <w:pPr>
      <w:ind w:left="720"/>
      <w:contextualSpacing/>
    </w:pPr>
  </w:style>
  <w:style w:type="character" w:styleId="Emphasis">
    <w:name w:val="Emphasis"/>
    <w:basedOn w:val="DefaultParagraphFont"/>
    <w:uiPriority w:val="20"/>
    <w:qFormat/>
    <w:rsid w:val="00426B97"/>
    <w:rPr>
      <w:i/>
      <w:iCs/>
    </w:rPr>
  </w:style>
  <w:style w:type="character" w:styleId="Strong">
    <w:name w:val="Strong"/>
    <w:basedOn w:val="DefaultParagraphFont"/>
    <w:uiPriority w:val="22"/>
    <w:qFormat/>
    <w:rsid w:val="00426B97"/>
    <w:rPr>
      <w:b/>
      <w:bCs/>
    </w:rPr>
  </w:style>
  <w:style w:type="character" w:styleId="Hyperlink">
    <w:name w:val="Hyperlink"/>
    <w:basedOn w:val="DefaultParagraphFont"/>
    <w:rsid w:val="00426B97"/>
    <w:rPr>
      <w:color w:val="0000FF" w:themeColor="hyperlink"/>
      <w:u w:val="single"/>
    </w:rPr>
  </w:style>
  <w:style w:type="character" w:styleId="FollowedHyperlink">
    <w:name w:val="FollowedHyperlink"/>
    <w:basedOn w:val="DefaultParagraphFont"/>
    <w:rsid w:val="00426B97"/>
    <w:rPr>
      <w:color w:val="800080" w:themeColor="followedHyperlink"/>
      <w:u w:val="single"/>
    </w:rPr>
  </w:style>
  <w:style w:type="table" w:styleId="TableGrid">
    <w:name w:val="Table Grid"/>
    <w:basedOn w:val="TableNormal"/>
    <w:uiPriority w:val="59"/>
    <w:rsid w:val="00426B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426B97"/>
    <w:pPr>
      <w:spacing w:beforeLines="1" w:afterLines="1"/>
    </w:pPr>
    <w:rPr>
      <w:rFonts w:ascii="Times" w:eastAsiaTheme="minorEastAsia" w:hAnsi="Times" w:cs="Times New Roman"/>
      <w:sz w:val="20"/>
      <w:szCs w:val="20"/>
    </w:rPr>
  </w:style>
  <w:style w:type="character" w:styleId="PageNumber">
    <w:name w:val="page number"/>
    <w:basedOn w:val="DefaultParagraphFont"/>
    <w:rsid w:val="00426B97"/>
  </w:style>
  <w:style w:type="character" w:styleId="LineNumber">
    <w:name w:val="line number"/>
    <w:basedOn w:val="DefaultParagraphFont"/>
    <w:rsid w:val="0042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31319</Words>
  <Characters>178519</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
    </vt:vector>
  </TitlesOfParts>
  <Manager/>
  <Company>MSVU</Company>
  <LinksUpToDate>false</LinksUpToDate>
  <CharactersWithSpaces>209420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Ivan</cp:lastModifiedBy>
  <cp:revision>2</cp:revision>
  <dcterms:created xsi:type="dcterms:W3CDTF">2019-01-20T05:38:00Z</dcterms:created>
  <dcterms:modified xsi:type="dcterms:W3CDTF">2019-01-20T05:38:00Z</dcterms:modified>
  <cp:category/>
</cp:coreProperties>
</file>