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F64" w:rsidRPr="00D637D9" w:rsidRDefault="00A10F64" w:rsidP="00A10F64">
      <w:pPr>
        <w:rPr>
          <w:b/>
          <w:i/>
        </w:rPr>
      </w:pPr>
      <w:bookmarkStart w:id="0" w:name="_GoBack"/>
      <w:bookmarkEnd w:id="0"/>
      <w:r w:rsidRPr="00D637D9">
        <w:rPr>
          <w:b/>
          <w:i/>
        </w:rPr>
        <w:t>Appendix S1. Additional information on</w:t>
      </w:r>
      <w:r w:rsidR="008920D2" w:rsidRPr="00D637D9">
        <w:rPr>
          <w:b/>
          <w:i/>
        </w:rPr>
        <w:t xml:space="preserve"> position of transplant sites</w:t>
      </w:r>
    </w:p>
    <w:p w:rsidR="00A10F64" w:rsidRPr="00D637D9" w:rsidRDefault="00A10F64"/>
    <w:p w:rsidR="0030638A" w:rsidRPr="00D637D9" w:rsidRDefault="0030638A">
      <w:r w:rsidRPr="00D637D9">
        <w:t xml:space="preserve">Table S1-1. </w:t>
      </w:r>
    </w:p>
    <w:p w:rsidR="0030638A" w:rsidRPr="00D637D9" w:rsidRDefault="0030638A"/>
    <w:tbl>
      <w:tblPr>
        <w:tblW w:w="13219" w:type="dxa"/>
        <w:tblLayout w:type="fixed"/>
        <w:tblCellMar>
          <w:left w:w="72" w:type="dxa"/>
          <w:right w:w="72" w:type="dxa"/>
        </w:tblCellMar>
        <w:tblLook w:val="00A0" w:firstRow="1" w:lastRow="0" w:firstColumn="1" w:lastColumn="0" w:noHBand="0" w:noVBand="0"/>
      </w:tblPr>
      <w:tblGrid>
        <w:gridCol w:w="1559"/>
        <w:gridCol w:w="1620"/>
        <w:gridCol w:w="1440"/>
        <w:gridCol w:w="950"/>
        <w:gridCol w:w="1530"/>
        <w:gridCol w:w="1440"/>
        <w:gridCol w:w="2160"/>
        <w:gridCol w:w="2520"/>
      </w:tblGrid>
      <w:tr w:rsidR="00661D87" w:rsidRPr="00D637D9">
        <w:trPr>
          <w:trHeight w:val="480"/>
        </w:trPr>
        <w:tc>
          <w:tcPr>
            <w:tcW w:w="1559" w:type="dxa"/>
            <w:vMerge w:val="restart"/>
            <w:tcBorders>
              <w:top w:val="single" w:sz="4" w:space="0" w:color="auto"/>
            </w:tcBorders>
            <w:vAlign w:val="bottom"/>
          </w:tcPr>
          <w:p w:rsidR="00661D87" w:rsidRPr="00D637D9" w:rsidRDefault="00661D87" w:rsidP="00A81A77">
            <w:pPr>
              <w:ind w:right="-91"/>
              <w:rPr>
                <w:b/>
                <w:sz w:val="22"/>
              </w:rPr>
            </w:pPr>
            <w:r w:rsidRPr="00D637D9">
              <w:rPr>
                <w:b/>
                <w:sz w:val="22"/>
              </w:rPr>
              <w:t>Species</w:t>
            </w:r>
          </w:p>
        </w:tc>
        <w:tc>
          <w:tcPr>
            <w:tcW w:w="1620" w:type="dxa"/>
            <w:vMerge w:val="restart"/>
            <w:tcBorders>
              <w:top w:val="single" w:sz="4" w:space="0" w:color="auto"/>
            </w:tcBorders>
            <w:vAlign w:val="bottom"/>
          </w:tcPr>
          <w:p w:rsidR="00661D87" w:rsidRPr="00D637D9" w:rsidRDefault="00661D87" w:rsidP="00A81A77">
            <w:pPr>
              <w:rPr>
                <w:b/>
                <w:sz w:val="22"/>
              </w:rPr>
            </w:pPr>
            <w:r w:rsidRPr="00D637D9">
              <w:rPr>
                <w:b/>
                <w:sz w:val="22"/>
              </w:rPr>
              <w:t>Source of TE data</w:t>
            </w:r>
          </w:p>
        </w:tc>
        <w:tc>
          <w:tcPr>
            <w:tcW w:w="1440" w:type="dxa"/>
            <w:vMerge w:val="restart"/>
            <w:tcBorders>
              <w:top w:val="single" w:sz="4" w:space="0" w:color="auto"/>
            </w:tcBorders>
            <w:vAlign w:val="bottom"/>
          </w:tcPr>
          <w:p w:rsidR="00661D87" w:rsidRPr="00D637D9" w:rsidRDefault="00661D87" w:rsidP="00A81A77">
            <w:pPr>
              <w:rPr>
                <w:b/>
                <w:sz w:val="22"/>
              </w:rPr>
            </w:pPr>
            <w:r w:rsidRPr="00D637D9">
              <w:rPr>
                <w:b/>
                <w:sz w:val="22"/>
              </w:rPr>
              <w:t>How range limit was determined</w:t>
            </w:r>
            <w:r w:rsidRPr="00D637D9">
              <w:t>*</w:t>
            </w:r>
          </w:p>
        </w:tc>
        <w:tc>
          <w:tcPr>
            <w:tcW w:w="950" w:type="dxa"/>
            <w:vMerge w:val="restart"/>
            <w:tcBorders>
              <w:top w:val="single" w:sz="4" w:space="0" w:color="auto"/>
            </w:tcBorders>
            <w:vAlign w:val="bottom"/>
          </w:tcPr>
          <w:p w:rsidR="00661D87" w:rsidRPr="00D637D9" w:rsidRDefault="00661D87" w:rsidP="00A81A77">
            <w:pPr>
              <w:rPr>
                <w:b/>
                <w:sz w:val="22"/>
              </w:rPr>
            </w:pPr>
            <w:r w:rsidRPr="00D637D9">
              <w:rPr>
                <w:b/>
                <w:sz w:val="22"/>
              </w:rPr>
              <w:t>Type of range limit</w:t>
            </w:r>
            <w:r w:rsidRPr="00D637D9">
              <w:rPr>
                <w:rFonts w:cs="Arial"/>
                <w:vertAlign w:val="superscript"/>
              </w:rPr>
              <w:t>†</w:t>
            </w:r>
          </w:p>
        </w:tc>
        <w:tc>
          <w:tcPr>
            <w:tcW w:w="2970" w:type="dxa"/>
            <w:gridSpan w:val="2"/>
            <w:tcBorders>
              <w:top w:val="single" w:sz="4" w:space="0" w:color="auto"/>
              <w:bottom w:val="single" w:sz="4" w:space="0" w:color="auto"/>
            </w:tcBorders>
            <w:tcMar>
              <w:top w:w="43" w:type="dxa"/>
              <w:left w:w="29" w:type="dxa"/>
              <w:bottom w:w="29" w:type="dxa"/>
              <w:right w:w="29" w:type="dxa"/>
            </w:tcMar>
            <w:vAlign w:val="bottom"/>
          </w:tcPr>
          <w:p w:rsidR="00661D87" w:rsidRPr="00D637D9" w:rsidRDefault="00661D87" w:rsidP="00A81A77">
            <w:pPr>
              <w:rPr>
                <w:b/>
                <w:sz w:val="22"/>
              </w:rPr>
            </w:pPr>
            <w:r w:rsidRPr="00D637D9">
              <w:rPr>
                <w:b/>
                <w:sz w:val="22"/>
              </w:rPr>
              <w:t>Discordant TE versus MCP site classification</w:t>
            </w:r>
          </w:p>
        </w:tc>
        <w:tc>
          <w:tcPr>
            <w:tcW w:w="2160" w:type="dxa"/>
            <w:vMerge w:val="restart"/>
            <w:tcBorders>
              <w:top w:val="single" w:sz="4" w:space="0" w:color="auto"/>
            </w:tcBorders>
            <w:tcMar>
              <w:top w:w="43" w:type="dxa"/>
              <w:left w:w="29" w:type="dxa"/>
              <w:bottom w:w="43" w:type="dxa"/>
              <w:right w:w="29" w:type="dxa"/>
            </w:tcMar>
            <w:vAlign w:val="bottom"/>
          </w:tcPr>
          <w:p w:rsidR="00661D87" w:rsidRPr="00D637D9" w:rsidRDefault="00661D87" w:rsidP="0075409E">
            <w:pPr>
              <w:rPr>
                <w:b/>
                <w:sz w:val="22"/>
                <w:highlight w:val="cyan"/>
              </w:rPr>
            </w:pPr>
            <w:r w:rsidRPr="00D637D9">
              <w:rPr>
                <w:b/>
                <w:sz w:val="22"/>
              </w:rPr>
              <w:t>Median distance (min, max) of over-the-edge sites to MCP (</w:t>
            </w:r>
            <w:r w:rsidR="00627B51" w:rsidRPr="00D637D9">
              <w:rPr>
                <w:b/>
                <w:sz w:val="22"/>
              </w:rPr>
              <w:t xml:space="preserve">in </w:t>
            </w:r>
            <w:r w:rsidRPr="00D637D9">
              <w:rPr>
                <w:b/>
                <w:sz w:val="22"/>
              </w:rPr>
              <w:t>km)</w:t>
            </w:r>
          </w:p>
        </w:tc>
        <w:tc>
          <w:tcPr>
            <w:tcW w:w="2520" w:type="dxa"/>
            <w:vMerge w:val="restart"/>
            <w:tcBorders>
              <w:top w:val="single" w:sz="4" w:space="0" w:color="auto"/>
            </w:tcBorders>
            <w:tcMar>
              <w:top w:w="43" w:type="dxa"/>
              <w:left w:w="29" w:type="dxa"/>
              <w:bottom w:w="43" w:type="dxa"/>
              <w:right w:w="29" w:type="dxa"/>
            </w:tcMar>
            <w:vAlign w:val="bottom"/>
          </w:tcPr>
          <w:p w:rsidR="00661D87" w:rsidRPr="00D637D9" w:rsidRDefault="00661D87" w:rsidP="0075409E">
            <w:pPr>
              <w:ind w:left="29" w:right="-18"/>
              <w:rPr>
                <w:b/>
                <w:sz w:val="22"/>
              </w:rPr>
            </w:pPr>
            <w:r w:rsidRPr="00D637D9">
              <w:rPr>
                <w:b/>
                <w:sz w:val="22"/>
              </w:rPr>
              <w:t>Median distance (min, max) between in-range and over-the-edge sites (</w:t>
            </w:r>
            <w:r w:rsidR="00627B51" w:rsidRPr="00D637D9">
              <w:rPr>
                <w:b/>
                <w:sz w:val="22"/>
              </w:rPr>
              <w:t xml:space="preserve">in </w:t>
            </w:r>
            <w:r w:rsidRPr="00D637D9">
              <w:rPr>
                <w:b/>
                <w:sz w:val="22"/>
              </w:rPr>
              <w:t>km)</w:t>
            </w:r>
          </w:p>
        </w:tc>
      </w:tr>
      <w:tr w:rsidR="00661D87" w:rsidRPr="00D637D9">
        <w:trPr>
          <w:trHeight w:val="686"/>
        </w:trPr>
        <w:tc>
          <w:tcPr>
            <w:tcW w:w="1559" w:type="dxa"/>
            <w:vMerge/>
            <w:tcBorders>
              <w:bottom w:val="single" w:sz="4" w:space="0" w:color="auto"/>
            </w:tcBorders>
          </w:tcPr>
          <w:p w:rsidR="00661D87" w:rsidRPr="00D637D9" w:rsidRDefault="00661D87" w:rsidP="00A81A77">
            <w:pPr>
              <w:ind w:right="-91"/>
              <w:rPr>
                <w:b/>
                <w:sz w:val="22"/>
              </w:rPr>
            </w:pPr>
          </w:p>
        </w:tc>
        <w:tc>
          <w:tcPr>
            <w:tcW w:w="1620" w:type="dxa"/>
            <w:vMerge/>
            <w:tcBorders>
              <w:bottom w:val="single" w:sz="4" w:space="0" w:color="auto"/>
            </w:tcBorders>
          </w:tcPr>
          <w:p w:rsidR="00661D87" w:rsidRPr="00D637D9" w:rsidRDefault="00661D87" w:rsidP="00A81A77">
            <w:pPr>
              <w:rPr>
                <w:b/>
                <w:sz w:val="22"/>
              </w:rPr>
            </w:pPr>
          </w:p>
        </w:tc>
        <w:tc>
          <w:tcPr>
            <w:tcW w:w="1440" w:type="dxa"/>
            <w:vMerge/>
            <w:tcBorders>
              <w:bottom w:val="single" w:sz="4" w:space="0" w:color="auto"/>
            </w:tcBorders>
          </w:tcPr>
          <w:p w:rsidR="00661D87" w:rsidRPr="00D637D9" w:rsidRDefault="00661D87" w:rsidP="00A81A77">
            <w:pPr>
              <w:rPr>
                <w:b/>
                <w:sz w:val="22"/>
              </w:rPr>
            </w:pPr>
          </w:p>
        </w:tc>
        <w:tc>
          <w:tcPr>
            <w:tcW w:w="950" w:type="dxa"/>
            <w:vMerge/>
            <w:tcBorders>
              <w:bottom w:val="single" w:sz="4" w:space="0" w:color="auto"/>
            </w:tcBorders>
            <w:tcMar>
              <w:top w:w="43" w:type="dxa"/>
              <w:left w:w="29" w:type="dxa"/>
              <w:bottom w:w="43" w:type="dxa"/>
              <w:right w:w="29" w:type="dxa"/>
            </w:tcMar>
          </w:tcPr>
          <w:p w:rsidR="00661D87" w:rsidRPr="00D637D9" w:rsidRDefault="00661D87" w:rsidP="00A81A77">
            <w:pPr>
              <w:rPr>
                <w:b/>
                <w:sz w:val="22"/>
              </w:rPr>
            </w:pPr>
          </w:p>
        </w:tc>
        <w:tc>
          <w:tcPr>
            <w:tcW w:w="1530" w:type="dxa"/>
            <w:tcBorders>
              <w:top w:val="single" w:sz="4" w:space="0" w:color="auto"/>
              <w:bottom w:val="single" w:sz="4" w:space="0" w:color="auto"/>
            </w:tcBorders>
            <w:tcMar>
              <w:top w:w="43" w:type="dxa"/>
              <w:left w:w="29" w:type="dxa"/>
              <w:bottom w:w="43" w:type="dxa"/>
              <w:right w:w="29" w:type="dxa"/>
            </w:tcMar>
          </w:tcPr>
          <w:p w:rsidR="00661D87" w:rsidRPr="00D637D9" w:rsidRDefault="00661D87" w:rsidP="0075409E">
            <w:pPr>
              <w:ind w:right="-29"/>
              <w:rPr>
                <w:b/>
                <w:sz w:val="22"/>
              </w:rPr>
            </w:pPr>
            <w:r w:rsidRPr="00D637D9">
              <w:rPr>
                <w:b/>
                <w:sz w:val="22"/>
              </w:rPr>
              <w:t>Number of over-the-edge sites inside the MCP (out of total</w:t>
            </w:r>
            <w:r w:rsidR="00FC75BF" w:rsidRPr="00D637D9">
              <w:rPr>
                <w:b/>
                <w:sz w:val="22"/>
              </w:rPr>
              <w:t xml:space="preserve"> number</w:t>
            </w:r>
            <w:r w:rsidRPr="00D637D9">
              <w:rPr>
                <w:b/>
                <w:sz w:val="22"/>
              </w:rPr>
              <w:t>)</w:t>
            </w:r>
          </w:p>
        </w:tc>
        <w:tc>
          <w:tcPr>
            <w:tcW w:w="1440" w:type="dxa"/>
            <w:tcBorders>
              <w:top w:val="single" w:sz="4" w:space="0" w:color="auto"/>
              <w:bottom w:val="single" w:sz="4" w:space="0" w:color="auto"/>
            </w:tcBorders>
            <w:tcMar>
              <w:top w:w="43" w:type="dxa"/>
              <w:left w:w="29" w:type="dxa"/>
              <w:bottom w:w="43" w:type="dxa"/>
              <w:right w:w="29" w:type="dxa"/>
            </w:tcMar>
          </w:tcPr>
          <w:p w:rsidR="00661D87" w:rsidRPr="00D637D9" w:rsidRDefault="00661D87" w:rsidP="0075409E">
            <w:pPr>
              <w:ind w:right="79"/>
              <w:rPr>
                <w:b/>
                <w:bCs/>
                <w:sz w:val="22"/>
              </w:rPr>
            </w:pPr>
            <w:r w:rsidRPr="00D637D9">
              <w:rPr>
                <w:b/>
                <w:sz w:val="22"/>
              </w:rPr>
              <w:t>Number of in-range sites outside the MCP (out of total</w:t>
            </w:r>
            <w:r w:rsidR="00FC75BF" w:rsidRPr="00D637D9">
              <w:rPr>
                <w:b/>
                <w:sz w:val="22"/>
              </w:rPr>
              <w:t xml:space="preserve"> number</w:t>
            </w:r>
            <w:r w:rsidRPr="00D637D9">
              <w:rPr>
                <w:b/>
                <w:sz w:val="22"/>
              </w:rPr>
              <w:t>)</w:t>
            </w:r>
          </w:p>
        </w:tc>
        <w:tc>
          <w:tcPr>
            <w:tcW w:w="2160" w:type="dxa"/>
            <w:vMerge/>
            <w:tcBorders>
              <w:bottom w:val="single" w:sz="4" w:space="0" w:color="auto"/>
            </w:tcBorders>
            <w:tcMar>
              <w:top w:w="43" w:type="dxa"/>
              <w:left w:w="29" w:type="dxa"/>
              <w:bottom w:w="43" w:type="dxa"/>
              <w:right w:w="29" w:type="dxa"/>
            </w:tcMar>
          </w:tcPr>
          <w:p w:rsidR="00661D87" w:rsidRPr="00D637D9" w:rsidRDefault="00661D87" w:rsidP="00A81A77">
            <w:pPr>
              <w:rPr>
                <w:b/>
                <w:sz w:val="22"/>
                <w:highlight w:val="cyan"/>
              </w:rPr>
            </w:pPr>
          </w:p>
        </w:tc>
        <w:tc>
          <w:tcPr>
            <w:tcW w:w="2520" w:type="dxa"/>
            <w:vMerge/>
            <w:tcBorders>
              <w:bottom w:val="single" w:sz="4" w:space="0" w:color="auto"/>
            </w:tcBorders>
            <w:tcMar>
              <w:top w:w="43" w:type="dxa"/>
              <w:left w:w="29" w:type="dxa"/>
              <w:bottom w:w="43" w:type="dxa"/>
              <w:right w:w="29" w:type="dxa"/>
            </w:tcMar>
          </w:tcPr>
          <w:p w:rsidR="00661D87" w:rsidRPr="00D637D9" w:rsidRDefault="00661D87" w:rsidP="00A81A77">
            <w:pPr>
              <w:ind w:right="-250"/>
              <w:rPr>
                <w:b/>
                <w:sz w:val="22"/>
              </w:rPr>
            </w:pPr>
          </w:p>
        </w:tc>
      </w:tr>
      <w:tr w:rsidR="00661D87" w:rsidRPr="00D637D9">
        <w:tc>
          <w:tcPr>
            <w:tcW w:w="1559" w:type="dxa"/>
            <w:tcBorders>
              <w:top w:val="single" w:sz="4" w:space="0" w:color="auto"/>
            </w:tcBorders>
          </w:tcPr>
          <w:p w:rsidR="00661D87" w:rsidRPr="00D637D9" w:rsidRDefault="00661D87" w:rsidP="00A81A77">
            <w:pPr>
              <w:rPr>
                <w:i/>
                <w:sz w:val="20"/>
                <w:szCs w:val="20"/>
              </w:rPr>
            </w:pPr>
            <w:r w:rsidRPr="00D637D9">
              <w:rPr>
                <w:i/>
                <w:sz w:val="20"/>
                <w:szCs w:val="20"/>
              </w:rPr>
              <w:t xml:space="preserve">Abutilon </w:t>
            </w:r>
            <w:proofErr w:type="spellStart"/>
            <w:r w:rsidRPr="00D637D9">
              <w:rPr>
                <w:i/>
                <w:sz w:val="20"/>
                <w:szCs w:val="20"/>
              </w:rPr>
              <w:t>theophrasti</w:t>
            </w:r>
            <w:proofErr w:type="spellEnd"/>
          </w:p>
        </w:tc>
        <w:tc>
          <w:tcPr>
            <w:tcW w:w="1620" w:type="dxa"/>
            <w:tcBorders>
              <w:top w:val="single" w:sz="4" w:space="0" w:color="auto"/>
            </w:tcBorders>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"(Andersen &lt;i&gt;et al.&lt;/i&gt; 1985)", "manualFormatting": "Andersen et al. 1985"}, "citationItems": [{"uris": ["http://www.mendeley.com/documents/?uuid=8755b650-885f-484a-b6d8-16d4cfa23022"], "id": "ITEM-1", "itemData": {"type": "article-journal", "author": [{"given": "Robert N", "dropping-particle": "", "suffix": "", "family": "Andersen", "parse-names": false, "non-dropping-particle": ""}, {"given": "Robert M", "dropping-particle": "", "suffix": "", "family": "Menges", "parse-names": false, "non-dropping-particle": ""}, {"given": "Jeffery S", "dropping-particle": "", "suffix": "", "family": "Conn", "parse-names": false, "non-dropping-particle": ""}], "issued": {"date-parts": [["1985"]]}, "ISSN": "0043-1745", "page": "507-512", "volume": "33", "container-title": "Weed Science", "title": "Variability in velvetleaf (Abutilon theophrasti) and reproduction beyond its current range in North America", "issue": "4",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Andersen et al. 1985</w:t>
            </w:r>
            <w:r w:rsidRPr="00D637D9">
              <w:rPr>
                <w:sz w:val="20"/>
                <w:szCs w:val="20"/>
              </w:rPr>
              <w:fldChar w:fldCharType="end"/>
            </w:r>
          </w:p>
        </w:tc>
        <w:tc>
          <w:tcPr>
            <w:tcW w:w="1440" w:type="dxa"/>
            <w:tcBorders>
              <w:top w:val="single" w:sz="4" w:space="0" w:color="auto"/>
            </w:tcBorders>
          </w:tcPr>
          <w:p w:rsidR="00661D87" w:rsidRPr="00D637D9" w:rsidRDefault="00661D87" w:rsidP="00A81A77">
            <w:pPr>
              <w:rPr>
                <w:sz w:val="20"/>
                <w:szCs w:val="20"/>
              </w:rPr>
            </w:pPr>
            <w:r w:rsidRPr="00D637D9">
              <w:rPr>
                <w:sz w:val="20"/>
                <w:szCs w:val="20"/>
              </w:rPr>
              <w:t>C</w:t>
            </w:r>
          </w:p>
        </w:tc>
        <w:tc>
          <w:tcPr>
            <w:tcW w:w="950" w:type="dxa"/>
            <w:tcBorders>
              <w:top w:val="single" w:sz="4" w:space="0" w:color="auto"/>
            </w:tcBorders>
            <w:tcMar>
              <w:top w:w="43" w:type="dxa"/>
              <w:left w:w="29" w:type="dxa"/>
              <w:bottom w:w="43" w:type="dxa"/>
              <w:right w:w="29" w:type="dxa"/>
            </w:tcMar>
          </w:tcPr>
          <w:p w:rsidR="00661D87" w:rsidRPr="00D637D9" w:rsidRDefault="00661D87" w:rsidP="00A81A77">
            <w:pPr>
              <w:rPr>
                <w:sz w:val="20"/>
                <w:szCs w:val="20"/>
              </w:rPr>
            </w:pPr>
            <w:r w:rsidRPr="00D637D9">
              <w:rPr>
                <w:sz w:val="20"/>
                <w:szCs w:val="20"/>
              </w:rPr>
              <w:t>H</w:t>
            </w:r>
          </w:p>
        </w:tc>
        <w:tc>
          <w:tcPr>
            <w:tcW w:w="1530" w:type="dxa"/>
            <w:tcBorders>
              <w:top w:val="single" w:sz="4" w:space="0" w:color="auto"/>
            </w:tcBorders>
            <w:tcMar>
              <w:top w:w="43" w:type="dxa"/>
              <w:left w:w="29" w:type="dxa"/>
              <w:bottom w:w="43" w:type="dxa"/>
              <w:right w:w="29" w:type="dxa"/>
            </w:tcMar>
          </w:tcPr>
          <w:p w:rsidR="00661D87" w:rsidRPr="00D637D9" w:rsidRDefault="00661D87" w:rsidP="00A81A77">
            <w:pPr>
              <w:rPr>
                <w:sz w:val="20"/>
                <w:szCs w:val="20"/>
              </w:rPr>
            </w:pPr>
            <w:r w:rsidRPr="00D637D9">
              <w:rPr>
                <w:sz w:val="20"/>
                <w:szCs w:val="20"/>
              </w:rPr>
              <w:t xml:space="preserve"> 0 (2)</w:t>
            </w:r>
          </w:p>
        </w:tc>
        <w:tc>
          <w:tcPr>
            <w:tcW w:w="1440" w:type="dxa"/>
            <w:tcBorders>
              <w:top w:val="single" w:sz="4" w:space="0" w:color="auto"/>
            </w:tcBorders>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(1)</w:t>
            </w:r>
          </w:p>
        </w:tc>
        <w:tc>
          <w:tcPr>
            <w:tcW w:w="2160" w:type="dxa"/>
            <w:tcBorders>
              <w:top w:val="single" w:sz="4" w:space="0" w:color="auto"/>
            </w:tcBorders>
            <w:tcMar>
              <w:top w:w="43" w:type="dxa"/>
              <w:left w:w="29" w:type="dxa"/>
              <w:bottom w:w="43" w:type="dxa"/>
              <w:right w:w="29" w:type="dxa"/>
            </w:tcMar>
          </w:tcPr>
          <w:p w:rsidR="00661D87" w:rsidRPr="00D637D9" w:rsidRDefault="00661D87" w:rsidP="00A81A77">
            <w:pPr>
              <w:rPr>
                <w:sz w:val="20"/>
                <w:szCs w:val="20"/>
              </w:rPr>
            </w:pPr>
            <w:r w:rsidRPr="00D637D9">
              <w:rPr>
                <w:sz w:val="20"/>
                <w:szCs w:val="20"/>
              </w:rPr>
              <w:t>1300 (534, 2066)</w:t>
            </w:r>
          </w:p>
        </w:tc>
        <w:tc>
          <w:tcPr>
            <w:tcW w:w="2520" w:type="dxa"/>
            <w:tcBorders>
              <w:top w:val="single" w:sz="4" w:space="0" w:color="auto"/>
            </w:tcBorders>
            <w:tcMar>
              <w:top w:w="43" w:type="dxa"/>
              <w:left w:w="29" w:type="dxa"/>
              <w:bottom w:w="43" w:type="dxa"/>
              <w:right w:w="29" w:type="dxa"/>
            </w:tcMar>
          </w:tcPr>
          <w:p w:rsidR="00661D87" w:rsidRPr="00D637D9" w:rsidRDefault="00661D87" w:rsidP="00A81A77">
            <w:pPr>
              <w:rPr>
                <w:sz w:val="20"/>
                <w:szCs w:val="20"/>
              </w:rPr>
            </w:pPr>
            <w:r w:rsidRPr="00D637D9">
              <w:rPr>
                <w:sz w:val="20"/>
                <w:szCs w:val="20"/>
              </w:rPr>
              <w:t>3047 (2107, 3986)</w:t>
            </w:r>
          </w:p>
        </w:tc>
      </w:tr>
      <w:tr w:rsidR="00661D87" w:rsidRPr="00D637D9">
        <w:tc>
          <w:tcPr>
            <w:tcW w:w="1559" w:type="dxa"/>
          </w:tcPr>
          <w:p w:rsidR="00661D87" w:rsidRPr="00D637D9" w:rsidRDefault="00661D87" w:rsidP="00A81A77">
            <w:pPr>
              <w:rPr>
                <w:i/>
                <w:sz w:val="20"/>
                <w:szCs w:val="20"/>
              </w:rPr>
            </w:pPr>
            <w:r w:rsidRPr="00D637D9">
              <w:rPr>
                <w:i/>
                <w:sz w:val="20"/>
                <w:szCs w:val="20"/>
              </w:rPr>
              <w:t xml:space="preserve">Acer </w:t>
            </w:r>
          </w:p>
          <w:p w:rsidR="00661D87" w:rsidRPr="00D637D9" w:rsidRDefault="00661D87" w:rsidP="00A81A77">
            <w:pPr>
              <w:rPr>
                <w:i/>
                <w:sz w:val="20"/>
                <w:szCs w:val="20"/>
              </w:rPr>
            </w:pPr>
            <w:r w:rsidRPr="00D637D9">
              <w:rPr>
                <w:i/>
                <w:sz w:val="20"/>
                <w:szCs w:val="20"/>
              </w:rPr>
              <w:t>saccharum</w:t>
            </w:r>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"(Kellman 2004)", "manualFormatting": "Kellman 2004"}, "citationItems": [{"uris": ["http://www.mendeley.com/documents/?uuid=a79ef81f-da8d-4789-b282-825be9db03f5"], "id": "ITEM-1", "itemData": {"publisher": "BLACKWELL PUBLISHING LTD", "DOI": "10.1111/j.1365-2699.2004.01128.x", "type": "article-journal", "publisher-place": "9600 GARSINGTON RD, OXFORD OX4 2DG, OXON, ENGLAND", "author": [{"given": "Martin", "dropping-particle": "", "suffix": "", "family": "Kellman", "parse-names": false, "non-dropping-particle": ""}], "issued": {"date-parts": [["2004", "9", "24"]]}, "abstract": "Aim To evaluate whether seedlings of sugar maple (Acer saccharum Marsh.) can establish beyond the species northern range limit in adjacent boreal forest. Location The hardwood-boreal forest transition zone on the north-east shore of Lake Superior, Ontario, Canada. Methods Seed fall of sugar maple was monitored for 5 years in a stand of this species at its northern range limit, and seed from this stand was transplanted to five micro-habitat types in an adjacent boreal forest. The establishment and survival of sugar maple seedlings there, and in the seed-source stand, was monitored for the following 7-11 years. Soil-surface light levels were measured in both forest types. Results Most seed fell in the final year of monitoring, when c. 250 seeds m(-2) were recorded. First-year seedling establishment rates in the maple stand, deriving from this mast seed year, was approximately double that deriving from seed transplanted to the boreal forest sites; this is tentatively attributed to seed predator satiation in the maple stand. However, subsequent seedling survivorship in the boreal forest was greater than that in the maple stand, resulting in comparable seedling densities by the end of 6 years. This difference is tentatively attributed to better illumination in the boreal forest sites, and canopy-opening disturbances appear to be especially facilitative of seedling survival. Main conclusions There is no fundamental impediment to sugar maple seedlings establishing in boreal forest communities if climate warming occurs and seed is available. If management intervention is needed to accelerate seed availability in a rapidly warming boreal forest, then diffuse seed application to disturbed boreal forest sites during mast years of local boreal tree species is recommended as the most effective way of avoiding seed predation and increasing seedling survival.", "ISSN": "0305-0270", "page": "1515-1522", "volume": "31", "container-title": "Journal of Biogeography", "title": "Sugar maple (Acer saccharum Marsh.) establishment in boreal forest: results of a transplantation experiment", "issue": "9",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Kellman 2004</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P</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H</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 (1)</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(1)</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-112</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4.7</w:t>
            </w:r>
          </w:p>
        </w:tc>
      </w:tr>
      <w:tr w:rsidR="00661D87" w:rsidRPr="00D637D9">
        <w:tc>
          <w:tcPr>
            <w:tcW w:w="1559" w:type="dxa"/>
          </w:tcPr>
          <w:p w:rsidR="00661D87" w:rsidRPr="00D637D9" w:rsidRDefault="00661D87" w:rsidP="00A81A77">
            <w:pPr>
              <w:rPr>
                <w:i/>
                <w:sz w:val="20"/>
                <w:szCs w:val="20"/>
              </w:rPr>
            </w:pPr>
            <w:proofErr w:type="spellStart"/>
            <w:r w:rsidRPr="00D637D9">
              <w:rPr>
                <w:i/>
                <w:sz w:val="20"/>
                <w:szCs w:val="20"/>
              </w:rPr>
              <w:t>Anelosimus</w:t>
            </w:r>
            <w:proofErr w:type="spellEnd"/>
            <w:r w:rsidRPr="00D637D9">
              <w:rPr>
                <w:i/>
                <w:sz w:val="20"/>
                <w:szCs w:val="20"/>
              </w:rPr>
              <w:t xml:space="preserve"> </w:t>
            </w:r>
            <w:proofErr w:type="spellStart"/>
            <w:r w:rsidRPr="00D637D9">
              <w:rPr>
                <w:i/>
                <w:sz w:val="20"/>
                <w:szCs w:val="20"/>
              </w:rPr>
              <w:t>baeza</w:t>
            </w:r>
            <w:proofErr w:type="spellEnd"/>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"(Purcell &amp; Aviles 2008)", "manualFormatting": "Purcell &amp; Aviles 2008"}, "citationItems": [{"uris": ["http://www.mendeley.com/documents/?uuid=5b4d1324-d86b-49bb-a529-1cff841ab6bd"], "id": "ITEM-1", "itemData": {"publisher": "ROYAL SOC", "DOI": "10.1098/rspb.2008.0582", "type": "article-journal", "publisher-place": "6-9 CARLTON HOUSE TERRACE, LONDON SW1Y 5AG, ENGLAND", "author": [{"given": "Jessica", "dropping-particle": "", "suffix": "", "family": "Purcell", "parse-names": false, "non-dropping-particle": ""}, {"given": "Leticia", "dropping-particle": "", "suffix": "", "family": "Aviles", "parse-names": false, "non-dropping-particle": ""}], "issued": {"date-parts": [["2008", "11"]]}, "abstract": "Species range boundaries often form along environmental gradients that dictate the success of the phenotypes present in each habitat. Sociality may allow colonization of environments where related species with a solitary lifestyle cannot persist. Social spiders in the genus Anelosimus appear restricted to low- and mid-elevation moist environments in the tropics, while subsocial spiders, common at higher elevations and latitudes, appear to be absent from the lowland tropical rainforest. Here, we seek factors that may simultaneously prevent subsocial Anelosimus species from colonizing the lowland rainforest while favouring species with large social groups in this habitat. To this end, we transplanted small groups of a subsocial species, which contain the offspring of a single female, from cloud forest habitat in the centre of its natural range to lower montane rainforest on the range margin and to lowland rainforest outside of the species range. Groups transplanted at the range margin and below their range limit were less likely to disperse and experienced increased mortality. This was correlated with greater rainfall intensity and ant abundance. We show that protection from rainfall enhances the performance of small groups of spiders in the lowland rainforest, and suggest that predation or disturbance by ants may influence the geographical range limits of this species.", "ISSN": "0962-8452", "page": "2617-2625", "volume": "275", "container-title": "Proceedings of the Royal Society B: Biological Sciences", "title": "Gradients of precipitation and ant abundance may contribute to the altitudinal range limit of subsocial spiders: insights from a transplant experiment", "issue": "1651",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Purcell &amp; Aviles 2008</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P</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V</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 (1)</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(2)</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-238</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52 (44, 60)</w:t>
            </w:r>
          </w:p>
        </w:tc>
      </w:tr>
      <w:tr w:rsidR="00661D87" w:rsidRPr="00D637D9">
        <w:tc>
          <w:tcPr>
            <w:tcW w:w="1559" w:type="dxa"/>
          </w:tcPr>
          <w:p w:rsidR="00661D87" w:rsidRPr="00D637D9" w:rsidRDefault="00661D87" w:rsidP="00A81A77">
            <w:pPr>
              <w:rPr>
                <w:i/>
                <w:sz w:val="20"/>
                <w:szCs w:val="20"/>
              </w:rPr>
            </w:pPr>
            <w:proofErr w:type="spellStart"/>
            <w:r w:rsidRPr="00D637D9">
              <w:rPr>
                <w:i/>
                <w:sz w:val="20"/>
                <w:szCs w:val="20"/>
              </w:rPr>
              <w:t>Aphragmus</w:t>
            </w:r>
            <w:proofErr w:type="spellEnd"/>
            <w:r w:rsidRPr="00D637D9">
              <w:rPr>
                <w:i/>
                <w:sz w:val="20"/>
                <w:szCs w:val="20"/>
              </w:rPr>
              <w:t xml:space="preserve"> </w:t>
            </w:r>
            <w:proofErr w:type="spellStart"/>
            <w:r w:rsidRPr="00D637D9">
              <w:rPr>
                <w:i/>
                <w:sz w:val="20"/>
                <w:szCs w:val="20"/>
              </w:rPr>
              <w:t>oxycarpus</w:t>
            </w:r>
            <w:proofErr w:type="spellEnd"/>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"(Klime\u0161 &amp; Dolezal 2010)", "manualFormatting": "Klime\u0161 &amp; Dolezal 2010"}, "citationItems": [{"uris": ["http://www.mendeley.com/documents/?uuid=40893abc-0288-4d49-8bdf-bdc2ec912b18"], "id": "ITEM-1", "itemData": {"title": "An experimental assessment of the upper elevational limit of flowering plants in the western Himalayas", "issued": {"date-parts": [["2010"]]}, "author": [{"given": "Leos", "dropping-particle": "", "suffix": "", "family": "Klime\u0161", "parse-names": false, "non-dropping-particle": ""}, {"given": "Jiri", "dropping-particle": "", "suffix": "", "family": "Dolezal", "parse-names": false, "non-dropping-particle": ""}], "page": "590-596", "volume": "33", "container-title": "Ecography", "type": "article-journal",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Klimeš &amp; Dolezal 2010</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S</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V</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3 (3)</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(1)</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-163 (-163, -163)</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1.5 (1.2, 1.8)</w:t>
            </w:r>
          </w:p>
        </w:tc>
      </w:tr>
      <w:tr w:rsidR="00661D87" w:rsidRPr="00D637D9">
        <w:tc>
          <w:tcPr>
            <w:tcW w:w="1559" w:type="dxa"/>
          </w:tcPr>
          <w:p w:rsidR="00661D87" w:rsidRPr="00D637D9" w:rsidRDefault="00661D87" w:rsidP="00A81A77">
            <w:pPr>
              <w:rPr>
                <w:i/>
                <w:sz w:val="20"/>
                <w:szCs w:val="20"/>
              </w:rPr>
            </w:pPr>
            <w:r w:rsidRPr="00D637D9">
              <w:rPr>
                <w:i/>
                <w:sz w:val="20"/>
                <w:szCs w:val="20"/>
              </w:rPr>
              <w:t xml:space="preserve">Arnica </w:t>
            </w:r>
          </w:p>
          <w:p w:rsidR="00661D87" w:rsidRPr="00D637D9" w:rsidRDefault="00661D87" w:rsidP="00A81A77">
            <w:pPr>
              <w:rPr>
                <w:i/>
                <w:sz w:val="20"/>
                <w:szCs w:val="20"/>
              </w:rPr>
            </w:pPr>
            <w:proofErr w:type="spellStart"/>
            <w:r w:rsidRPr="00D637D9">
              <w:rPr>
                <w:i/>
                <w:sz w:val="20"/>
                <w:szCs w:val="20"/>
              </w:rPr>
              <w:t>montana</w:t>
            </w:r>
            <w:proofErr w:type="spellEnd"/>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"(Bruelheide &amp; Scheidel 1999)", "manualFormatting": "Bruelheide &amp; Scheidel 1999"}, "citationItems": [{"uris": ["http://www.mendeley.com/documents/?uuid=b48e873d-62dc-4a96-8dab-ea41dacde8dc"], "id": "ITEM-1", "itemData": {"DOI": "10.1046/j.1365-2745.1999.00403.x", "type": "article-journal", "author": [{"given": "Helge", "dropping-particle": "", "suffix": "", "family": "Bruelheide", "parse-names": false, "non-dropping-particle": ""}, {"given": "Ulrich", "dropping-particle": "", "suffix": "", "family": "Scheidel", "parse-names": false, "non-dropping-particle": ""}], "issued": {"date-parts": [["1999", "10"]]}, "abstract": "1 We tested whether slug herbivory is a factor restricting the rare perennial Arnica montana to high elevations in the Hart mountains, Lower Saxony. 2 In one experiment we artificially increased the mollusc population density in plots containing native: Arnica montana populations. Leaf loss and damage to Arnica increased significantly, whilst damage to other plant species in the same plots was unaffected by mollusc density. 3 A second experiment examined damage by molluscs of transplanted Arnica montana plants at three different altitudes. Whilst damage to Arnica was negligible at 610 m a.s.l. (where natural populations occur), molluscs removed 8% of Arnica leaf area at 385 m a.s.l. and 75% at 180 m a.s.l. At the two lower sites, protective caging of Arnica plants significantly reduced the amount of leaf tissue consumed by molluscs. The impact of mollusc herbivory on Arnica montana therefore appears to increase with decreasing altitude. 4 Despite the weak relationship between leaf damage to Arnica montana and mollusc abundance, periods of peak mollusc activity may well coincide with those phases in Arnica life history that are most sensitive to tissue removal by herbivores. 5 Our results support the hypothesis that polyphagous herbivores play a major role in limiting the distribution of preferred plant species. We discuss how selective herbivory may influence the distribution of Arnica montana populations in these grassland communities.", "ISSN": "0022-0477", "page": "839-848", "volume": "87", "container-title": "Journal of Ecology", "title": "Slug herbivory as a limiting factor for the geographical range of Arnica montana", "issue": "5",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Bruelheide &amp; Scheidel 1999</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P</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V</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2 (2)</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(1)</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-734 (-738, -731)</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31 (14, 49)</w:t>
            </w:r>
          </w:p>
        </w:tc>
      </w:tr>
      <w:tr w:rsidR="00661D87" w:rsidRPr="00D637D9">
        <w:tc>
          <w:tcPr>
            <w:tcW w:w="1559" w:type="dxa"/>
          </w:tcPr>
          <w:p w:rsidR="00661D87" w:rsidRPr="00D637D9" w:rsidRDefault="00661D87" w:rsidP="00A81A77">
            <w:pPr>
              <w:rPr>
                <w:i/>
                <w:sz w:val="20"/>
                <w:szCs w:val="20"/>
              </w:rPr>
            </w:pPr>
            <w:proofErr w:type="spellStart"/>
            <w:r w:rsidRPr="00D637D9">
              <w:rPr>
                <w:i/>
                <w:sz w:val="20"/>
                <w:szCs w:val="20"/>
              </w:rPr>
              <w:t>Atalopedes</w:t>
            </w:r>
            <w:proofErr w:type="spellEnd"/>
            <w:r w:rsidRPr="00D637D9">
              <w:rPr>
                <w:i/>
                <w:sz w:val="20"/>
                <w:szCs w:val="20"/>
              </w:rPr>
              <w:t xml:space="preserve"> campestris</w:t>
            </w:r>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"(Crozier 2004)", "manualFormatting": "Crozier 2004"}, "citationItems": [{"uris": ["http://www.mendeley.com/documents/?uuid=32c940cb-0511-4afd-97be-698a82fc54e6"], "id": "ITEM-1", "itemData": {"DOI": "10.1007/s00442-004-1634-z", "type": "article-journal", "author": [{"given": "Lisa G", "dropping-particle": "", "suffix": "", "family": "Crozier", "parse-names": false, "non-dropping-particle": ""}], "issued": {"date-parts": [["2004", "9"]]}, "ISSN": "0029-8549", "page": "148-157", "volume": "141", "container-title": "Oecologia", "title": "Field transplants reveal summer constraints on a butterfly range expansion", "issue": "1",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Crozier 2004</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S</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H</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 (1)</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(1)</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-140</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125</w:t>
            </w:r>
          </w:p>
        </w:tc>
      </w:tr>
      <w:tr w:rsidR="00661D87" w:rsidRPr="00D637D9">
        <w:tc>
          <w:tcPr>
            <w:tcW w:w="1559" w:type="dxa"/>
          </w:tcPr>
          <w:p w:rsidR="00661D87" w:rsidRPr="00D637D9" w:rsidRDefault="00661D87" w:rsidP="00A81A77">
            <w:pPr>
              <w:rPr>
                <w:i/>
                <w:sz w:val="20"/>
                <w:szCs w:val="20"/>
              </w:rPr>
            </w:pPr>
            <w:r w:rsidRPr="00D637D9">
              <w:rPr>
                <w:i/>
                <w:sz w:val="20"/>
                <w:szCs w:val="20"/>
              </w:rPr>
              <w:t>Betula</w:t>
            </w:r>
          </w:p>
          <w:p w:rsidR="00661D87" w:rsidRPr="00D637D9" w:rsidRDefault="00661D87" w:rsidP="00A81A77">
            <w:pPr>
              <w:rPr>
                <w:i/>
                <w:sz w:val="20"/>
                <w:szCs w:val="20"/>
              </w:rPr>
            </w:pPr>
            <w:proofErr w:type="spellStart"/>
            <w:r w:rsidRPr="00D637D9">
              <w:rPr>
                <w:i/>
                <w:sz w:val="20"/>
                <w:szCs w:val="20"/>
              </w:rPr>
              <w:t>papyrifera</w:t>
            </w:r>
            <w:proofErr w:type="spellEnd"/>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"(Hobbie &amp; Chapin III 1998)", "manualFormatting": "Hobbie &amp; Chapin  1998"}, "citationItems": [{"uris": ["http://www.mendeley.com/documents/?uuid=21c46071-cf71-4981-9163-98eb1a4c6706"], "id": "ITEM-1", "itemData": {"DOI": "10.1046/j.1365-2745.1998.00278.x", "type": "article-journal", "author": [{"given": "Sarah E", "dropping-particle": "", "suffix": "", "family": "Hobbie", "parse-names": false, "non-dropping-particle": ""}, {"given": "F Stuart", "dropping-particle": "", "suffix": "", "family": "Chapin III", "parse-names": false, "non-dropping-particle": ""}], "issued": {"date-parts": [["1998", "6"]]}, "abstract": "1 Five treeline species had low seed germination rates and low survivorship and growth of seedlings when transplanted into Alaskan tundra. Seed germination of all species increased with experimental warming, suggesting that the present treeline may in part result from unsuccessful recruitment under cold conditions. 2 Growth, biomass and survivorship of seedlings of treeline species transplanted into tundra were largely unaffected by experimental warming. However, transplanted seedlings of three species (Betula papyrifera, Picea glauca and Populus tremuloides) grew more when below-ground competition with the extant community was reduced. All three measures of transplant performance were greater in shrub tundra than in the less productive tussock or heath tundra. Establishment of trees in tundra may thus be prevented by low resource availability and competition. 3 Two species (Alnus crispa and Populus balsamifera) had low seed germination and survivorship of germinated seeds; transplants of these species did not respond to the manipulations and lost biomass following transplanting into tundra. Isolated populations of these two species north of the present treeline in arctic Alaska probably became established during mid-Holocene warming rather than in recent times. 4 Of all the species studied here, Picea glauca was the most likely to invade intact upland tundra. Its seeds had the highest germination rates and it was the only species whose seedlings survived subsequently. Furthermore, transplanted seedlings of Picea glauca had relatively high survivorship and positive growth in tundra, especially in treatments that increased air temperature or nutrient availability, two factors likely to increase with climate warming.", "ISSN": "0022-0477", "page": "449-461", "volume": "86", "container-title": "Journal of Ecology", "title": "An experimental test of limits to tree establishment in Arctic tundra", "issue": "3",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Hobbie &amp; Chapin  1998</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B</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H</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 (1)</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(1)</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-100</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426</w:t>
            </w:r>
          </w:p>
        </w:tc>
      </w:tr>
      <w:tr w:rsidR="00661D87" w:rsidRPr="00D637D9">
        <w:tc>
          <w:tcPr>
            <w:tcW w:w="1559" w:type="dxa"/>
          </w:tcPr>
          <w:p w:rsidR="00661D87" w:rsidRPr="00D637D9" w:rsidRDefault="00661D87" w:rsidP="00A81A77">
            <w:pPr>
              <w:rPr>
                <w:i/>
                <w:sz w:val="20"/>
                <w:szCs w:val="20"/>
              </w:rPr>
            </w:pPr>
            <w:proofErr w:type="spellStart"/>
            <w:r w:rsidRPr="00D637D9">
              <w:rPr>
                <w:i/>
                <w:sz w:val="20"/>
                <w:szCs w:val="20"/>
              </w:rPr>
              <w:t>Camissoniopsis</w:t>
            </w:r>
            <w:proofErr w:type="spellEnd"/>
            <w:r w:rsidRPr="00D637D9">
              <w:rPr>
                <w:i/>
                <w:sz w:val="20"/>
                <w:szCs w:val="20"/>
              </w:rPr>
              <w:t xml:space="preserve"> </w:t>
            </w:r>
            <w:proofErr w:type="spellStart"/>
            <w:r w:rsidRPr="00D637D9">
              <w:rPr>
                <w:i/>
                <w:sz w:val="20"/>
                <w:szCs w:val="20"/>
              </w:rPr>
              <w:t>cheiranthifolia</w:t>
            </w:r>
            <w:proofErr w:type="spellEnd"/>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"(Samis &amp; Eckert 2009)", "manualFormatting": "Samis &amp; Eckert 2009"}, "citationItems": [{"uris": ["http://www.mendeley.com/documents/?uuid=e1bc50db-1186-42f9-831f-e2921fe78b9f"], "id": "ITEM-1", "itemData": {"volume": "90", "publisher": "ECOLOGICAL SOC AMER", "DOI": "10.1890/08-1914.1", "type": "article-journal", "publisher-place": "1990 M STREET NW, STE 700, WASHINGTON, DC 20036 USA", "author": [{"given": "Karen E", "dropping-particle": "", "suffix": "", "family": "Samis", "parse-names": false, "non-dropping-particle": ""}, {"given": "Christopher G", "dropping-particle": "", "suffix": "", "family": "Eckert", "parse-names": false, "non-dropping-particle": ""}], "issued": {"date-parts": [["2009", "11"]]}, "abstract": "A species is expected to occur where the prevailing biotic and abiotic conditions fall within its fundamental niche. Geographic range limits should, therefore, occur when the survival and fitness of individuals along ecological gradients is reduced to the point at which populations are no longer self-sustaining. Abrupt limits to a species' distribution are expected to reflect abrupt changes in the ecological conditions that cause sharp declines in fitness across the limit. We investigated the correlation between geographic variation in environment and fitness across the abrupt northern range limit of a coastal dune plant, Camissoniopsis cheiranthifolia (Onagraceae). In each of 64 plots distributed across five sites along a 200-km transect spanning the species' northern range limit (four within the range plus one beyond the limit), we measured plant community composition as a proxy for variation in biotic and abiotic environmental factors and lifetime fitness of genetically standardized experimental populations of C. cheiranthifolia. There was substantial variation in plant community composition among plots and sites across the range limit, and fitness of experimental plants covaried strongly with the first principal component of plant community composition. However, we did not detect an abrupt shift in plant community or the expected decline in fitness across the range limit. In fact, fitness and recruitment increased toward the limit and were relatively high beyond the limit. This suggests that habitat beyond the range did not occur outside of the species' fundamental niche. These results challenge niche-based explanations for range limits and suggest that hypotheses involving the finer-scale distribution of habitat patches or constraints on dispersal warrant more serious consideration.", "ISSN": "0012-9658", "page": "3051-3061", "note": "130221\n\n        \n\n        \n\n        \n\n        \n\n        \n\n        \n\n        \n\n        \n\n        \n\n        \n\n        \n\n        \n\n        \n\n        \n\n        \n\n        \nis lewisii \"replacing\" cardinalis at some range limits?\n\n        \n\n        \n\n        \n\n        \n\n        \n\n        \n\n        \n\n        \n\n        \n\n        \n\n        \n\n        \n\n        \n\n        \n\n        \n\n        \nmeasured variation in pl. community composition as a proxy for more complex ecological variation\n\n        \n\n        \n\n        \n\n        \n\n        \n\n        \n\n        \n\n        \n\n        \n\n        \n\n        \n\n        \n\n        \n\n        \n\n        \n\n        \nquestions: is there an ecological gradient? is there an environmental gradient? do factors of these gradients covary with fitness of transplanted populations?\n\n        \n\n        \n\n        \n\n        \n\n        \n\n        \n\n        \n\n        \n\n        \n\n        \n\n        \n\n        \n\n        \n\n        \n\n        \n\n        \ngradients kind of exist, fitness is high beyond range edge, occupancy is lower. no clear conclusion about why this species' limit exists.\n\n        \n\n        \n\n        \n\n        \n\n        \n\n        \n\n        \n\n        \n\n        \n\n        \n\n        \n\n        \n\n        \n\n        \n\n        \n\n        \nplants in northern half of the range are self fertilizing, how do population genetics play into this system?", "container-title": "Ecology", "title": "Ecological correlates of fitness across the northern geographic range limit of a Pacific Coast dune plant", "issue": "11",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Samis &amp; Eckert 2009</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P</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H</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0 (1)</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(4)</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63</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129 (60, 192)</w:t>
            </w:r>
          </w:p>
        </w:tc>
      </w:tr>
      <w:tr w:rsidR="00661D87" w:rsidRPr="00D637D9">
        <w:tc>
          <w:tcPr>
            <w:tcW w:w="1559" w:type="dxa"/>
          </w:tcPr>
          <w:p w:rsidR="00661D87" w:rsidRPr="00D637D9" w:rsidRDefault="00661D87" w:rsidP="00A81A77">
            <w:pPr>
              <w:rPr>
                <w:i/>
                <w:sz w:val="20"/>
                <w:szCs w:val="20"/>
              </w:rPr>
            </w:pPr>
            <w:proofErr w:type="spellStart"/>
            <w:r w:rsidRPr="00D637D9">
              <w:rPr>
                <w:i/>
                <w:sz w:val="20"/>
                <w:szCs w:val="20"/>
              </w:rPr>
              <w:t>Chamaecrista</w:t>
            </w:r>
            <w:proofErr w:type="spellEnd"/>
            <w:r w:rsidRPr="00D637D9">
              <w:rPr>
                <w:i/>
                <w:sz w:val="20"/>
                <w:szCs w:val="20"/>
              </w:rPr>
              <w:t xml:space="preserve"> fasciculata</w:t>
            </w:r>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"(Stanton-Geddes &lt;i&gt;et al.&lt;/i&gt; 2012)", "manualFormatting": "Stanton-Geddes et al. 2012"}, "citationItems": [{"uris": ["http://www.mendeley.com/documents/?uuid=d5b45ece-c5a1-48a7-ad91-a136e529d55a"], "id": "ITEM-1", "itemData": {"type": "article-journal", "author": [{"given": "John", "dropping-particle": "", "suffix": "", "family": "Stanton-Geddes", "parse-names": false, "non-dropping-particle": ""}, {"given": "Peter", "dropping-particle": "", "suffix": "", "family": "Tiffin", "parse-names": false, "non-dropping-particle": ""}, {"given": "Ruth G", "dropping-particle": "", "suffix": "", "family": "Shaw", "parse-names": false, "non-dropping-particle": ""}], "issued": {"date-parts": [["2012"]]}, "title": "Role of climate and competitors in limiting fitness across range edges of an annual plant", "page": "1604-1613", "volume": "93", "container-title": "Ecology", "issue": "7",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Stanton-Geddes et al. 2012</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C</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H</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0 (2)</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1 (3)</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300 (204, 396)</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587 (106, 846)</w:t>
            </w:r>
          </w:p>
        </w:tc>
      </w:tr>
      <w:tr w:rsidR="00661D87" w:rsidRPr="00D637D9">
        <w:tc>
          <w:tcPr>
            <w:tcW w:w="1559" w:type="dxa"/>
          </w:tcPr>
          <w:p w:rsidR="00661D87" w:rsidRPr="00D637D9" w:rsidRDefault="00661D87" w:rsidP="00A81A77">
            <w:pPr>
              <w:rPr>
                <w:i/>
                <w:sz w:val="20"/>
                <w:szCs w:val="20"/>
              </w:rPr>
            </w:pPr>
            <w:r w:rsidRPr="00D637D9">
              <w:rPr>
                <w:i/>
                <w:sz w:val="20"/>
                <w:szCs w:val="20"/>
              </w:rPr>
              <w:t xml:space="preserve">Clarkia </w:t>
            </w:r>
            <w:proofErr w:type="spellStart"/>
            <w:r w:rsidRPr="00D637D9">
              <w:rPr>
                <w:i/>
                <w:sz w:val="20"/>
                <w:szCs w:val="20"/>
              </w:rPr>
              <w:t>xantiana</w:t>
            </w:r>
            <w:proofErr w:type="spellEnd"/>
            <w:r w:rsidRPr="00D637D9">
              <w:rPr>
                <w:i/>
                <w:sz w:val="20"/>
                <w:szCs w:val="20"/>
              </w:rPr>
              <w:t xml:space="preserve"> ssp. </w:t>
            </w:r>
            <w:proofErr w:type="spellStart"/>
            <w:r w:rsidRPr="00D637D9">
              <w:rPr>
                <w:i/>
                <w:sz w:val="20"/>
                <w:szCs w:val="20"/>
              </w:rPr>
              <w:t>parviflora</w:t>
            </w:r>
            <w:proofErr w:type="spellEnd"/>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"(Geber &amp; Eckhart 2005)", "manualFormatting": "Geber &amp; Eckhart 2005"}, "citationItems": [{"uris": ["http://www.mendeley.com/documents/?uuid=b8f70fce-b843-47f8-9f80-4a2660ec7dbc"], "id": "ITEM-1", "itemData": {"publisher": "SOC STUDY EVOLUTION", "DOI": "10.1554/04-265", "type": "article-journal", "publisher-place": "810 E 10TH STREET, LAWRENCE, KS 66044 USA", "author": [{"given": "Monica A", "dropping-particle": "", "suffix": "", "family": "Geber", "parse-names": false, "non-dropping-particle": ""}, {"given": "Vincent M", "dropping-particle": "", "suffix": "", "family": "Eckhart", "parse-names": false, "non-dropping-particle": ""}], "issued": {"date-parts": [["2005", "3"]]}, "abstract": "Because the range boundary is the locale beyond which a taxon fails to persist, it provides a unique opportunity for studying the limits on adaptive evolution. Adaptive constraints on range expansion are perplexing in view of widespread ecotypic differentiation by habitat and region within a species' range (regional adaptation) and rapid evolutionary response to novel environments. In this study of two parapatric subspecies, Clarkia xantiana ssp. xantiana and C. x. ssp. parviflora, we compared the fitness of population transplants within their native region, in a non-native region within the native range, and in the non-native range to assess whether range expansion might be limited by a greater intensity of selection on colonists of a new range versus a new region within the range. The combined range of the two subspecies spans a west-to-east gradient of declining precipitation in the Sierra Nevada of California, with ssp. xantiana in the west being replaced by ssp. parviflora in the east. Both subspecies had significantly higher fitness in the native range (range adaptation), whereas regional adaptation was weak and was found only in the predominantly outcrossing ssp. xantiana but was absent in the inbreeding ssp. parvifilora. Because selection intensity on transplants was much stronger in the non-native range relative to non-native regions, there is a larger adaptive barrier to range versus regional expansion. Three of five sequential fitness components accounted for regional and range adaptation, but only one of them, survivorship from germination to flowering, contributed to both. Flower number contributed to regional adaptation in ssp. xantiana and fruit set (number of fruits per flower) to range adaptation. Differential survivorship of the two taxa or regional populations of ssp. xantiana in non-native environments was attributable, in part, to biotic interactions, including competition, herbivory, and pollination. For example, low fruit set in ssp. xantiana in the east was likely due to the absence of its principal specialist bee pollinators in ssp. parviflora's range. Thus, convergence on self-fertilization may be necessary for ssp. xantiana to invade ssp. parviflora's range, but the evolution of outcrossing would not be required for ssp. parviflora to invade ssp. xantiana's range.", "ISSN": "0014-3820", "page": "521-531", "volume": "59", "container-title": "Evolution", "title": "Experimental studies of adaptation in Clarkia xantiana: II. Fitness variation across a subspecies border", "PMID": "15856695", "issue": "3",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Geber &amp; Eckhart 2005</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P</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H</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0 (1)</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(2)</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5.7</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37 (16, 58)</w:t>
            </w:r>
          </w:p>
        </w:tc>
      </w:tr>
      <w:tr w:rsidR="00661D87" w:rsidRPr="00D637D9">
        <w:tc>
          <w:tcPr>
            <w:tcW w:w="1559" w:type="dxa"/>
          </w:tcPr>
          <w:p w:rsidR="00661D87" w:rsidRPr="00D637D9" w:rsidRDefault="00661D87" w:rsidP="00A81A77">
            <w:pPr>
              <w:rPr>
                <w:i/>
                <w:sz w:val="20"/>
                <w:szCs w:val="20"/>
              </w:rPr>
            </w:pPr>
            <w:r w:rsidRPr="00D637D9">
              <w:rPr>
                <w:i/>
                <w:sz w:val="20"/>
                <w:szCs w:val="20"/>
              </w:rPr>
              <w:t xml:space="preserve">Clarkia </w:t>
            </w:r>
            <w:proofErr w:type="spellStart"/>
            <w:r w:rsidRPr="00D637D9">
              <w:rPr>
                <w:i/>
                <w:sz w:val="20"/>
                <w:szCs w:val="20"/>
              </w:rPr>
              <w:t>xantiana</w:t>
            </w:r>
            <w:proofErr w:type="spellEnd"/>
            <w:r w:rsidRPr="00D637D9">
              <w:rPr>
                <w:i/>
                <w:sz w:val="20"/>
                <w:szCs w:val="20"/>
              </w:rPr>
              <w:t xml:space="preserve"> </w:t>
            </w:r>
            <w:r w:rsidRPr="00D637D9">
              <w:rPr>
                <w:i/>
                <w:sz w:val="20"/>
                <w:szCs w:val="20"/>
              </w:rPr>
              <w:lastRenderedPageBreak/>
              <w:t xml:space="preserve">ssp. </w:t>
            </w:r>
            <w:proofErr w:type="spellStart"/>
            <w:r w:rsidRPr="00D637D9">
              <w:rPr>
                <w:i/>
                <w:sz w:val="20"/>
                <w:szCs w:val="20"/>
              </w:rPr>
              <w:t>xantiana</w:t>
            </w:r>
            <w:proofErr w:type="spellEnd"/>
          </w:p>
        </w:tc>
        <w:tc>
          <w:tcPr>
            <w:tcW w:w="1620" w:type="dxa"/>
          </w:tcPr>
          <w:p w:rsidR="00661D87" w:rsidRPr="00D637D9" w:rsidRDefault="00B06571" w:rsidP="00A81A77">
            <w:pPr>
              <w:rPr>
                <w:sz w:val="20"/>
                <w:szCs w:val="20"/>
              </w:rPr>
            </w:pPr>
            <w:r w:rsidRPr="00D637D9">
              <w:rPr>
                <w:sz w:val="20"/>
                <w:szCs w:val="20"/>
              </w:rPr>
              <w:lastRenderedPageBreak/>
              <w:fldChar w:fldCharType="begin"/>
            </w:r>
            <w:r w:rsidR="00661D87" w:rsidRPr="00D637D9">
              <w:rPr>
                <w:sz w:val="20"/>
                <w:szCs w:val="20"/>
              </w:rPr>
              <w:instrText>ADDIN CSL_CITATION {"mendeley": {"previouslyFormattedCitation": "(Geber &amp; Eckhart 2005)", "manualFormatting": "Geber &amp; Eckhart 2005"}, "citationItems": [{"uris": ["http://www.mendeley.com/documents/?uuid=b8f70fce-b843-47f8-9f80-4a2660ec7dbc"], "id": "ITEM-1", "itemData": {"publisher": "SOC STUDY EVOLUTION", "DOI": "10.1554/04-265", "type": "article-journal", "publisher-place": "810 E 10TH STREET, LAWRENCE, KS 66044 USA", "author": [{"given": "Monica A", "dropping-particle": "", "suffix": "", "family": "Geber", "parse-names": false, "non-dropping-particle": ""}, {"given": "Vincent M", "dropping-particle": "", "suffix": "", "family": "Eckhart", "parse-names": false, "non-dropping-particle": ""}], "issued": {"date-parts": [["2005", "3"]]}, "abstract": "Because the range boundary is the locale beyond which a taxon fails to persist, it provides a unique opportunity for studying the limits on adaptive evolution. Adaptive constraints on range expansion are perplexing in view of widespread ecotypic differentiation by habitat and region within a species' range (regional adaptation) and rapid evolutionary response to novel environments. In this study of two parapatric subspecies, Clarkia xantiana ssp. xantiana and C. x. ssp. parviflora, we compared the fitness of population transplants within their native region, in a non-native region within the native range, and in the non-native range to assess whether range expansion might be limited by a greater intensity of selection on colonists of a new range versus a new region within the range. The combined range of the two subspecies spans a west-to-east gradient of declining precipitation in the Sierra Nevada of California, with ssp. xantiana in the west being replaced by ssp. parviflora in the east. Both subspecies had significantly higher fitness in the native range (range adaptation), whereas regional adaptation was weak and was found only in the predominantly outcrossing ssp. xantiana but was absent in the inbreeding ssp. parvifilora. Because selection intensity on transplants was much stronger in the non-native range relative to non-native regions, there is a larger adaptive barrier to range versus regional expansion. Three of five sequential fitness components accounted for regional and range adaptation, but only one of them, survivorship from germination to flowering, contributed to both. Flower number contributed to regional adaptation in ssp. xantiana and fruit set (number of fruits per flower) to range adaptation. Differential survivorship of the two taxa or regional populations of ssp. xantiana in non-native environments was attributable, in part, to biotic interactions, including competition, herbivory, and pollination. For example, low fruit set in ssp. xantiana in the east was likely due to the absence of its principal specialist bee pollinators in ssp. parviflora's range. Thus, convergence on self-fertilization may be necessary for ssp. xantiana to invade ssp. parviflora's range, but the evolution of outcrossing would not be required for ssp. parviflora to invade ssp. xantiana's range.", "ISSN": "0014-3820", "page": "521-531", "volume": "59", "container-title": "Evolution", "title": "Experimental studies of adaptation in Clarkia xantiana: II. Fitness variation across a subspecies border", "PMID": "15856695", "issue": "3",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 xml:space="preserve">Geber &amp; Eckhart </w:t>
            </w:r>
            <w:r w:rsidR="00661D87" w:rsidRPr="00D637D9">
              <w:rPr>
                <w:noProof/>
                <w:sz w:val="20"/>
                <w:szCs w:val="20"/>
              </w:rPr>
              <w:lastRenderedPageBreak/>
              <w:t>2005</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lastRenderedPageBreak/>
              <w:t>P</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H</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 (1)</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(2)</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-16</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50 (42, 58)</w:t>
            </w:r>
          </w:p>
        </w:tc>
      </w:tr>
      <w:tr w:rsidR="00661D87" w:rsidRPr="00D637D9">
        <w:tc>
          <w:tcPr>
            <w:tcW w:w="1559" w:type="dxa"/>
            <w:vMerge w:val="restart"/>
          </w:tcPr>
          <w:p w:rsidR="00661D87" w:rsidRPr="00D637D9" w:rsidRDefault="00661D87" w:rsidP="00A81A77">
            <w:pPr>
              <w:rPr>
                <w:i/>
                <w:sz w:val="20"/>
                <w:szCs w:val="20"/>
              </w:rPr>
            </w:pPr>
            <w:r w:rsidRPr="00D637D9">
              <w:rPr>
                <w:i/>
                <w:sz w:val="20"/>
                <w:szCs w:val="20"/>
              </w:rPr>
              <w:t xml:space="preserve">Digitalis </w:t>
            </w:r>
            <w:proofErr w:type="spellStart"/>
            <w:r w:rsidRPr="00D637D9">
              <w:rPr>
                <w:i/>
                <w:sz w:val="20"/>
                <w:szCs w:val="20"/>
              </w:rPr>
              <w:t>purpurea</w:t>
            </w:r>
            <w:proofErr w:type="spellEnd"/>
          </w:p>
        </w:tc>
        <w:tc>
          <w:tcPr>
            <w:tcW w:w="1620" w:type="dxa"/>
            <w:vMerge w:val="restart"/>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"(Bruelheide &amp; Heinemeyer 2002)", "manualFormatting": "Bruelheide &amp; Heinemeyer 2002"}, "citationItems": [{"uris": ["http://www.mendeley.com/documents/?uuid=10784a73-f98c-4396-be18-3183c87e2e42"], "id": "ITEM-1", "itemData": {"publisher": "ELSEVIER GMBH, URBAN &amp; FISCHER VERLAG", "DOI": "10.1078/0367-2530-00064", "type": "article-journal", "publisher-place": "OFFICE JENA, P O BOX 100537, 07705 JENA, GERMANY", "author": [{"given": "Helge", "dropping-particle": "", "suffix": "", "family": "Bruelheide", "parse-names": false, "non-dropping-particle": ""}, {"given": "Andreas", "dropping-particle": "", "suffix": "", "family": "Heinemeyer", "parse-names": false, "non-dropping-particle": ""}], "issued": {"date-parts": [["2002"]]}, "abstract": "Digitalis purpurea was studied as a representative of a plant species with subatlantic geographical distribution in Central Germany with the objective of identifying the underlying climatic causes of the species' eastern distribution boundary. A transplantation experiment with 1-year-old plants and seeds was performed along a ca. 100 km west-east transect across the regional distribution boundary in northwest Thuringia and along an altitudinal transect from 380 m to H 30 m a.s.l. in the Harz Mountains. Continuous measurements of air temperatures below rosette leaves confirmed a clear gradient of increasing mean temperatures with decreasing elevation and, with the exception of one field site, from west to east. Biometrical measurements of the transplants and the survival rate of seedlings generally matched the temperature gradients. Photosynthesis measurements along the elevational transect showed that differences in growth between altitudes were reflected in differences of temperature optima of net assimilation. Seedling mortality was highest in winter at the highest and at the easternmost plot. Although this should be a clear indication of frost sensitivity, there was no satisfactory correlation with absolute minimum temperatures below the rosettes, which exhibited a range between -4.1degreesC and -9.2degreesC. Frost tolerance experiments were carried out in a freeze chamber at the end of the winter. Significant damage to leaves was found at -12degreesC or below; whereas the threshold for buds and roots was -15degreesC and -18degreesC, respectively. Although frost events of this magnitude were not observed below the rosettes during the period of investigation, mainly because of snow cover, they occur regularly in the study area. In addition to the winter conditions, summer drought was found to have a strong influence on growth of adult plants at the eastern sites. This was confirmed by a manipulative experiment with additional watering. Transpiration experiments also showed a strong water deficit in unwatered plants in the east. The general conclusion from the study is that frost events in winter, which mainly affect the survival of seedlings, combined with summer drought periods, which mainly limit growth of adults, explain the eastern distribution boundary of Digitalis purpurea.", "ISSN": "0367-2530", "page": "475-490", "volume": "197", "container-title": "Flora", "title": "Climatic factors controlling the eastern and altitudinal distribution boundary of Digitalis purpurea L. in Germany", "issue": "6",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Bruelheide &amp; Heinemeyer 2002</w:t>
            </w:r>
            <w:r w:rsidRPr="00D637D9">
              <w:rPr>
                <w:sz w:val="20"/>
                <w:szCs w:val="20"/>
              </w:rPr>
              <w:fldChar w:fldCharType="end"/>
            </w:r>
          </w:p>
        </w:tc>
        <w:tc>
          <w:tcPr>
            <w:tcW w:w="1440" w:type="dxa"/>
            <w:vMerge w:val="restart"/>
          </w:tcPr>
          <w:p w:rsidR="00661D87" w:rsidRPr="00D637D9" w:rsidRDefault="00661D87" w:rsidP="00A81A77">
            <w:pPr>
              <w:rPr>
                <w:sz w:val="20"/>
                <w:szCs w:val="20"/>
              </w:rPr>
            </w:pPr>
            <w:r w:rsidRPr="00D637D9">
              <w:rPr>
                <w:sz w:val="20"/>
                <w:szCs w:val="20"/>
              </w:rPr>
              <w:t>P</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Both</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2 (2)</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(7)</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-624 (-644, -603)</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40 (5, 67)</w:t>
            </w:r>
          </w:p>
        </w:tc>
      </w:tr>
      <w:tr w:rsidR="00661D87" w:rsidRPr="00D637D9">
        <w:tc>
          <w:tcPr>
            <w:tcW w:w="1559" w:type="dxa"/>
            <w:vMerge/>
          </w:tcPr>
          <w:p w:rsidR="00661D87" w:rsidRPr="00D637D9" w:rsidRDefault="00661D87" w:rsidP="00A81A77">
            <w:pPr>
              <w:rPr>
                <w:i/>
                <w:sz w:val="20"/>
                <w:szCs w:val="20"/>
              </w:rPr>
            </w:pPr>
          </w:p>
        </w:tc>
        <w:tc>
          <w:tcPr>
            <w:tcW w:w="1620" w:type="dxa"/>
            <w:vMerge/>
          </w:tcPr>
          <w:p w:rsidR="00661D87" w:rsidRPr="00D637D9" w:rsidRDefault="00661D87" w:rsidP="00A81A77">
            <w:pPr>
              <w:rPr>
                <w:sz w:val="20"/>
                <w:szCs w:val="20"/>
              </w:rPr>
            </w:pPr>
          </w:p>
        </w:tc>
        <w:tc>
          <w:tcPr>
            <w:tcW w:w="1440" w:type="dxa"/>
            <w:vMerge/>
          </w:tcPr>
          <w:p w:rsidR="00661D87" w:rsidRPr="00D637D9" w:rsidRDefault="00661D87" w:rsidP="00A81A77">
            <w:pPr>
              <w:rPr>
                <w:sz w:val="20"/>
                <w:szCs w:val="20"/>
              </w:rPr>
            </w:pP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H</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 (1)</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(4)</w:t>
            </w:r>
          </w:p>
        </w:tc>
        <w:tc>
          <w:tcPr>
            <w:tcW w:w="2160" w:type="dxa"/>
            <w:shd w:val="clear" w:color="auto" w:fill="auto"/>
            <w:tcMar>
              <w:top w:w="43" w:type="dxa"/>
              <w:left w:w="29" w:type="dxa"/>
              <w:bottom w:w="43" w:type="dxa"/>
              <w:right w:w="29" w:type="dxa"/>
            </w:tcMar>
          </w:tcPr>
          <w:p w:rsidR="00661D87" w:rsidRPr="00D637D9" w:rsidRDefault="00661D87" w:rsidP="00A81A77">
            <w:pPr>
              <w:rPr>
                <w:sz w:val="20"/>
                <w:szCs w:val="20"/>
              </w:rPr>
            </w:pPr>
            <w:r w:rsidRPr="00D637D9">
              <w:rPr>
                <w:sz w:val="20"/>
                <w:szCs w:val="20"/>
              </w:rPr>
              <w:t>-603</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32 (22, 60)</w:t>
            </w:r>
          </w:p>
        </w:tc>
      </w:tr>
      <w:tr w:rsidR="00661D87" w:rsidRPr="00D637D9">
        <w:tc>
          <w:tcPr>
            <w:tcW w:w="1559" w:type="dxa"/>
            <w:vMerge/>
          </w:tcPr>
          <w:p w:rsidR="00661D87" w:rsidRPr="00D637D9" w:rsidRDefault="00661D87" w:rsidP="00A81A77">
            <w:pPr>
              <w:rPr>
                <w:i/>
                <w:sz w:val="20"/>
                <w:szCs w:val="20"/>
              </w:rPr>
            </w:pPr>
          </w:p>
        </w:tc>
        <w:tc>
          <w:tcPr>
            <w:tcW w:w="1620" w:type="dxa"/>
            <w:vMerge/>
          </w:tcPr>
          <w:p w:rsidR="00661D87" w:rsidRPr="00D637D9" w:rsidRDefault="00661D87" w:rsidP="00A81A77">
            <w:pPr>
              <w:rPr>
                <w:sz w:val="20"/>
                <w:szCs w:val="20"/>
              </w:rPr>
            </w:pPr>
          </w:p>
        </w:tc>
        <w:tc>
          <w:tcPr>
            <w:tcW w:w="1440" w:type="dxa"/>
            <w:vMerge/>
          </w:tcPr>
          <w:p w:rsidR="00661D87" w:rsidRPr="00D637D9" w:rsidRDefault="00661D87" w:rsidP="00A81A77">
            <w:pPr>
              <w:rPr>
                <w:sz w:val="20"/>
                <w:szCs w:val="20"/>
              </w:rPr>
            </w:pP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V</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 (1)</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(3)</w:t>
            </w:r>
          </w:p>
        </w:tc>
        <w:tc>
          <w:tcPr>
            <w:tcW w:w="2160" w:type="dxa"/>
            <w:shd w:val="clear" w:color="auto" w:fill="auto"/>
            <w:tcMar>
              <w:top w:w="43" w:type="dxa"/>
              <w:left w:w="29" w:type="dxa"/>
              <w:bottom w:w="43" w:type="dxa"/>
              <w:right w:w="29" w:type="dxa"/>
            </w:tcMar>
          </w:tcPr>
          <w:p w:rsidR="00661D87" w:rsidRPr="00D637D9" w:rsidRDefault="00661D87" w:rsidP="00A81A77">
            <w:pPr>
              <w:rPr>
                <w:sz w:val="20"/>
                <w:szCs w:val="20"/>
              </w:rPr>
            </w:pPr>
            <w:r w:rsidRPr="00D637D9">
              <w:rPr>
                <w:sz w:val="20"/>
                <w:szCs w:val="20"/>
              </w:rPr>
              <w:t>-644</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14 (4.9, 22)</w:t>
            </w:r>
          </w:p>
        </w:tc>
      </w:tr>
      <w:tr w:rsidR="00661D87" w:rsidRPr="00D637D9">
        <w:tc>
          <w:tcPr>
            <w:tcW w:w="1559" w:type="dxa"/>
          </w:tcPr>
          <w:p w:rsidR="00661D87" w:rsidRPr="00D637D9" w:rsidRDefault="00661D87" w:rsidP="00A81A77">
            <w:pPr>
              <w:rPr>
                <w:i/>
                <w:sz w:val="20"/>
                <w:szCs w:val="20"/>
              </w:rPr>
            </w:pPr>
            <w:proofErr w:type="spellStart"/>
            <w:r w:rsidRPr="00D637D9">
              <w:rPr>
                <w:i/>
                <w:sz w:val="20"/>
                <w:szCs w:val="20"/>
              </w:rPr>
              <w:t>Draba</w:t>
            </w:r>
            <w:proofErr w:type="spellEnd"/>
            <w:r w:rsidRPr="00D637D9">
              <w:rPr>
                <w:i/>
                <w:sz w:val="20"/>
                <w:szCs w:val="20"/>
              </w:rPr>
              <w:t xml:space="preserve"> </w:t>
            </w:r>
          </w:p>
          <w:p w:rsidR="00661D87" w:rsidRPr="00D637D9" w:rsidRDefault="00661D87" w:rsidP="00A81A77">
            <w:pPr>
              <w:rPr>
                <w:i/>
                <w:sz w:val="20"/>
                <w:szCs w:val="20"/>
              </w:rPr>
            </w:pPr>
            <w:proofErr w:type="spellStart"/>
            <w:r w:rsidRPr="00D637D9">
              <w:rPr>
                <w:i/>
                <w:sz w:val="20"/>
                <w:szCs w:val="20"/>
              </w:rPr>
              <w:t>altaica</w:t>
            </w:r>
            <w:proofErr w:type="spellEnd"/>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"(Klime\u0161 &amp; Dolezal 2010)", "manualFormatting": "Klime\u0161 &amp; Dolezal 2010"}, "citationItems": [{"uris": ["http://www.mendeley.com/documents/?uuid=40893abc-0288-4d49-8bdf-bdc2ec912b18"], "id": "ITEM-1", "itemData": {"title": "An experimental assessment of the upper elevational limit of flowering plants in the western Himalayas", "issued": {"date-parts": [["2010"]]}, "author": [{"given": "Leos", "dropping-particle": "", "suffix": "", "family": "Klime\u0161", "parse-names": false, "non-dropping-particle": ""}, {"given": "Jiri", "dropping-particle": "", "suffix": "", "family": "Dolezal", "parse-names": false, "non-dropping-particle": ""}], "page": "590-596", "volume": "33", "container-title": "Ecography", "type": "article-journal",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Klimeš &amp; Dolezal 2010</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S</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V</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2 (2)</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(2)</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-237 (-237, -236)</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1.1 (0.3, 1.8)</w:t>
            </w:r>
          </w:p>
        </w:tc>
      </w:tr>
      <w:tr w:rsidR="00661D87" w:rsidRPr="00D637D9">
        <w:trPr>
          <w:trHeight w:val="380"/>
        </w:trPr>
        <w:tc>
          <w:tcPr>
            <w:tcW w:w="1559" w:type="dxa"/>
          </w:tcPr>
          <w:p w:rsidR="00661D87" w:rsidRPr="00D637D9" w:rsidRDefault="00661D87" w:rsidP="00A81A77">
            <w:pPr>
              <w:rPr>
                <w:i/>
                <w:sz w:val="20"/>
                <w:szCs w:val="20"/>
              </w:rPr>
            </w:pPr>
            <w:proofErr w:type="spellStart"/>
            <w:r w:rsidRPr="00D637D9">
              <w:rPr>
                <w:i/>
                <w:sz w:val="20"/>
                <w:szCs w:val="20"/>
              </w:rPr>
              <w:t>Draba</w:t>
            </w:r>
            <w:proofErr w:type="spellEnd"/>
            <w:r w:rsidRPr="00D637D9">
              <w:rPr>
                <w:i/>
                <w:sz w:val="20"/>
                <w:szCs w:val="20"/>
              </w:rPr>
              <w:t xml:space="preserve"> </w:t>
            </w:r>
          </w:p>
          <w:p w:rsidR="00661D87" w:rsidRPr="00D637D9" w:rsidRDefault="00661D87" w:rsidP="00A81A77">
            <w:pPr>
              <w:rPr>
                <w:i/>
                <w:sz w:val="20"/>
                <w:szCs w:val="20"/>
              </w:rPr>
            </w:pPr>
            <w:proofErr w:type="spellStart"/>
            <w:r w:rsidRPr="00D637D9">
              <w:rPr>
                <w:i/>
                <w:sz w:val="20"/>
                <w:szCs w:val="20"/>
              </w:rPr>
              <w:t>oreades</w:t>
            </w:r>
            <w:proofErr w:type="spellEnd"/>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"(Klime\u0161 &amp; Dolezal 2010)", "manualFormatting": "Klime\u0161 &amp; Dolezal 2010"}, "citationItems": [{"uris": ["http://www.mendeley.com/documents/?uuid=40893abc-0288-4d49-8bdf-bdc2ec912b18"], "id": "ITEM-1", "itemData": {"title": "An experimental assessment of the upper elevational limit of flowering plants in the western Himalayas", "issued": {"date-parts": [["2010"]]}, "author": [{"given": "Leos", "dropping-particle": "", "suffix": "", "family": "Klime\u0161", "parse-names": false, "non-dropping-particle": ""}, {"given": "Jiri", "dropping-particle": "", "suffix": "", "family": "Dolezal", "parse-names": false, "non-dropping-particle": ""}], "page": "590-596", "volume": "33", "container-title": "Ecography", "type": "article-journal",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Klimeš &amp; Dolezal 2010</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S</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V</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2 (2)</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(2)</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-172 (-172, -172)</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1.1 (0.3, 1.8)</w:t>
            </w:r>
          </w:p>
        </w:tc>
      </w:tr>
      <w:tr w:rsidR="00661D87" w:rsidRPr="00D637D9">
        <w:tc>
          <w:tcPr>
            <w:tcW w:w="1559" w:type="dxa"/>
          </w:tcPr>
          <w:p w:rsidR="00661D87" w:rsidRPr="00D637D9" w:rsidRDefault="00661D87" w:rsidP="00A81A77">
            <w:pPr>
              <w:rPr>
                <w:i/>
                <w:sz w:val="20"/>
                <w:szCs w:val="20"/>
              </w:rPr>
            </w:pPr>
            <w:r w:rsidRPr="00D637D9">
              <w:rPr>
                <w:i/>
                <w:sz w:val="20"/>
                <w:szCs w:val="20"/>
              </w:rPr>
              <w:t xml:space="preserve">Euphorbia </w:t>
            </w:r>
            <w:proofErr w:type="spellStart"/>
            <w:r w:rsidRPr="00D637D9">
              <w:rPr>
                <w:i/>
                <w:sz w:val="20"/>
                <w:szCs w:val="20"/>
              </w:rPr>
              <w:t>amygdaloides</w:t>
            </w:r>
            <w:proofErr w:type="spellEnd"/>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"(Schulz &amp; Bruelheide 1999)", "manualFormatting": "Schulz &amp; Bruelheide 1999"}, "citationItems": [{"uris": ["http://www.mendeley.com/documents/?uuid=737696b6-428c-4a9a-9bf6-83e076d9891a"], "id": "ITEM-1", "itemData": {"collection-title": "MONTE VERITA : PROCEEDINGS OF THE CENTRO STEFANO FRANSCINI ASCONA", "ISBN": "3-7643-6086-0", "author": [{"given": "C", "dropping-particle": "", "suffix": "", "family": "Schulz", "parse-names": false, "non-dropping-particle": ""}, {"given": "Helge", "dropping-particle": "", "suffix": "", "family": "Bruelheide", "parse-names": false, "non-dropping-particle": ""}], "issued": {"date-parts": [["1999"]]}, "title": "An experimental study on the impact of winter temperature on the distribution of Euphorbia amygdaloides L. in Central Germany", "page": "121-150", "note": "Conference on Recent Shifts in Vegetation Boundaries of Deciduous\nForests, Especially Due to General Global Warming, ASCONA, SWITZERLAND, \n,", "editor": [{"given": "GR", "dropping-particle": "", "suffix": "", "family": "Klotzli, F and Walther", "parse-names": false, "non-dropping-particle": ""}], "container-title": "Conference on Recent Shifts in Vegetation Boundaries of Deciduous Forests", "type": "paper-conference",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Schulz &amp; Bruelheide 1999</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C, P</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H</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4 (4)</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(4)</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-525 (-531, -514)</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25 (4, 50)</w:t>
            </w:r>
          </w:p>
        </w:tc>
      </w:tr>
      <w:tr w:rsidR="00661D87" w:rsidRPr="00D637D9">
        <w:tc>
          <w:tcPr>
            <w:tcW w:w="1559" w:type="dxa"/>
          </w:tcPr>
          <w:p w:rsidR="00661D87" w:rsidRPr="00D637D9" w:rsidRDefault="00661D87" w:rsidP="00A81A77">
            <w:pPr>
              <w:rPr>
                <w:i/>
                <w:sz w:val="20"/>
                <w:szCs w:val="20"/>
              </w:rPr>
            </w:pPr>
            <w:r w:rsidRPr="00D637D9">
              <w:rPr>
                <w:i/>
                <w:sz w:val="20"/>
                <w:szCs w:val="20"/>
              </w:rPr>
              <w:t xml:space="preserve">Gilia </w:t>
            </w:r>
            <w:proofErr w:type="spellStart"/>
            <w:r w:rsidRPr="00D637D9">
              <w:rPr>
                <w:i/>
                <w:sz w:val="20"/>
                <w:szCs w:val="20"/>
              </w:rPr>
              <w:t>capitata</w:t>
            </w:r>
            <w:proofErr w:type="spellEnd"/>
            <w:r w:rsidRPr="00D637D9">
              <w:rPr>
                <w:i/>
                <w:sz w:val="20"/>
                <w:szCs w:val="20"/>
              </w:rPr>
              <w:t xml:space="preserve"> ssp. </w:t>
            </w:r>
            <w:proofErr w:type="spellStart"/>
            <w:r w:rsidRPr="00D637D9">
              <w:rPr>
                <w:i/>
                <w:sz w:val="20"/>
                <w:szCs w:val="20"/>
              </w:rPr>
              <w:t>capitata</w:t>
            </w:r>
            <w:proofErr w:type="spellEnd"/>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"(Nagy &amp; Rice 1997)", "manualFormatting": "Nagy &amp; Rice 1997"}, "citationItems": [{"uris": ["http://www.mendeley.com/documents/?uuid=d2ed6b58-396e-4171-9238-5d8c5a65e0fd"], "id": "ITEM-1", "itemData": {"DOI": "10.2307/2411037", "type": "article-journal", "author": [{"given": "Eric S", "dropping-particle": "", "suffix": "", "family": "Nagy", "parse-names": false, "non-dropping-particle": ""}, {"given": "Kevin J", "dropping-particle": "", "suffix": "", "family": "Rice", "parse-names": false, "non-dropping-particle": ""}], "issued": {"date-parts": [["1997", "8"]]}, "abstract": "Plant populations often adapt to local environmental conditions. Here we demonstrate local adaptation in two subspecies of the California native annual Gilia capitata using standard reciprocal transplant techniques in two sites (coastal and inland) over three consecutive years. Subspecies performance in each site was measured in four ways: probability of seedling emergence, early vegetative size (length of longest leaf), probability of flowering, and total number of inflorescences produced per plant. Analysis of three of the four variables demonstrated local adaptation through site-by-subspecies interactions in which natives outperformed immigrants. The disparity between natives and immigrants in their probability of emergence and probability of flowering was greater at the coastal site than at the inland site. Treated in isolation, these two fitness components suggest that migration from the coast to the inland site may be less restricted by selection than migration in the opposite direction. Two measurements of individual size (leaf length and number of inflorescences), suggest (though not strongly) that immigrants may be subject to weaker selection at the coastal site than at the inland site. A standard cohort life table is used to compare replacement rates (R-0) for each subspecies at each site. Comparisons of R(0)s suggest that immigrants are under a severe demographic disadvantage at the coastal site, but only a small disadvantage at the inland site. The results point out the importance of integrating over several fitness components when documenting the magnitude of local adaptation.", "ISSN": "0014-3820", "page": "1079-1089", "volume": "51", "container-title": "Evolution", "title": "Local adaptation in two subspecies of an annual plant: Implications for migration and gene flow", "issue": "4",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Nagy &amp; Rice 1997</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C, S</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H</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 (1)</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(1)</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-6.9</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66</w:t>
            </w:r>
          </w:p>
        </w:tc>
      </w:tr>
      <w:tr w:rsidR="00661D87" w:rsidRPr="00D637D9">
        <w:tc>
          <w:tcPr>
            <w:tcW w:w="1559" w:type="dxa"/>
          </w:tcPr>
          <w:p w:rsidR="00661D87" w:rsidRPr="00D637D9" w:rsidRDefault="00661D87" w:rsidP="00A81A77">
            <w:pPr>
              <w:rPr>
                <w:i/>
                <w:sz w:val="20"/>
                <w:szCs w:val="20"/>
              </w:rPr>
            </w:pPr>
            <w:proofErr w:type="spellStart"/>
            <w:r w:rsidRPr="00D637D9">
              <w:rPr>
                <w:i/>
                <w:sz w:val="20"/>
                <w:szCs w:val="20"/>
              </w:rPr>
              <w:t>Hordeum</w:t>
            </w:r>
            <w:proofErr w:type="spellEnd"/>
            <w:r w:rsidRPr="00D637D9">
              <w:rPr>
                <w:i/>
                <w:sz w:val="20"/>
                <w:szCs w:val="20"/>
              </w:rPr>
              <w:t xml:space="preserve"> </w:t>
            </w:r>
            <w:proofErr w:type="spellStart"/>
            <w:r w:rsidRPr="00D637D9">
              <w:rPr>
                <w:i/>
                <w:sz w:val="20"/>
                <w:szCs w:val="20"/>
              </w:rPr>
              <w:t>murinum</w:t>
            </w:r>
            <w:proofErr w:type="spellEnd"/>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"(Davison 1977)", "manualFormatting": "Davison 1977"}, "citationItems": [{"uris": ["http://www.mendeley.com/documents/?uuid=b24a6851-3722-4ee3-95a7-2de2cc075635"], "id": "ITEM-1", "itemData": {"type": "article-journal", "author": [{"given": "A W", "dropping-particle": "", "suffix": "", "family": "Davison", "parse-names": false, "non-dropping-particle": ""}], "issued": {"date-parts": [["1977"]]}, "title": "The ecology of Hordeum murinum L.: III. Some effects of adverse climate", "page": "523-530", "volume": "65", "container-title": "Journal of Ecology", "issue": "2",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Davison 1977</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C, P</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V</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2 (2)</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(1)</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-338 (-340, -336)</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50 (42, 58)</w:t>
            </w:r>
          </w:p>
        </w:tc>
      </w:tr>
      <w:tr w:rsidR="00661D87" w:rsidRPr="00D637D9">
        <w:tc>
          <w:tcPr>
            <w:tcW w:w="1559" w:type="dxa"/>
          </w:tcPr>
          <w:p w:rsidR="00661D87" w:rsidRPr="00D637D9" w:rsidRDefault="00661D87" w:rsidP="00A81A77">
            <w:pPr>
              <w:rPr>
                <w:i/>
                <w:sz w:val="20"/>
                <w:szCs w:val="20"/>
              </w:rPr>
            </w:pPr>
            <w:proofErr w:type="spellStart"/>
            <w:r w:rsidRPr="00D637D9">
              <w:rPr>
                <w:i/>
                <w:sz w:val="20"/>
                <w:szCs w:val="20"/>
              </w:rPr>
              <w:t>Lactuca</w:t>
            </w:r>
            <w:proofErr w:type="spellEnd"/>
            <w:r w:rsidRPr="00D637D9">
              <w:rPr>
                <w:i/>
                <w:sz w:val="20"/>
                <w:szCs w:val="20"/>
              </w:rPr>
              <w:t xml:space="preserve"> </w:t>
            </w:r>
          </w:p>
          <w:p w:rsidR="00661D87" w:rsidRPr="00D637D9" w:rsidRDefault="00661D87" w:rsidP="00A81A77">
            <w:pPr>
              <w:rPr>
                <w:i/>
                <w:sz w:val="20"/>
                <w:szCs w:val="20"/>
              </w:rPr>
            </w:pPr>
            <w:proofErr w:type="spellStart"/>
            <w:r w:rsidRPr="00D637D9">
              <w:rPr>
                <w:i/>
                <w:sz w:val="20"/>
                <w:szCs w:val="20"/>
              </w:rPr>
              <w:t>serriola</w:t>
            </w:r>
            <w:proofErr w:type="spellEnd"/>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"(Prince &amp; Carter 1985)", "manualFormatting": "Prince &amp; Carter 1985"}, "citationItems": [{"uris": ["http://www.mendeley.com/documents/?uuid=a724c65a-48dc-4239-a9d9-d8980fcc08ed"], "id": "ITEM-1", "itemData": {"type": "article-journal", "author": [{"given": "S D", "dropping-particle": "", "suffix": "", "family": "Prince", "parse-names": false, "non-dropping-particle": ""}, {"given": "R N", "dropping-particle": "", "suffix": "", "family": "Carter", "parse-names": false, "non-dropping-particle": ""}], "issued": {"date-parts": [["1985"]]}, "title": "The Geographical Distribution of Prickly Lettuce ( Lactuca Serriola ): III . Its Performance in Transplant Sites Beyond its Distribution Limit in Britain", "page": "49-64", "volume": "73", "container-title": "Journal of Ecology", "issue": "1",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Prince &amp; Carter 1985</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P, S</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H</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3 (3)</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(2)</w:t>
            </w:r>
          </w:p>
        </w:tc>
        <w:tc>
          <w:tcPr>
            <w:tcW w:w="2160" w:type="dxa"/>
            <w:shd w:val="clear" w:color="auto" w:fill="auto"/>
            <w:tcMar>
              <w:top w:w="43" w:type="dxa"/>
              <w:left w:w="29" w:type="dxa"/>
              <w:bottom w:w="43" w:type="dxa"/>
              <w:right w:w="29" w:type="dxa"/>
            </w:tcMar>
          </w:tcPr>
          <w:p w:rsidR="00661D87" w:rsidRPr="00D637D9" w:rsidRDefault="00661D87" w:rsidP="00A81A77">
            <w:pPr>
              <w:rPr>
                <w:sz w:val="20"/>
                <w:szCs w:val="20"/>
                <w:highlight w:val="cyan"/>
              </w:rPr>
            </w:pPr>
            <w:r w:rsidRPr="00D637D9">
              <w:rPr>
                <w:sz w:val="20"/>
                <w:szCs w:val="20"/>
              </w:rPr>
              <w:t>-303 (-357, -217)</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244 (64, 438)</w:t>
            </w:r>
          </w:p>
        </w:tc>
      </w:tr>
      <w:tr w:rsidR="00661D87" w:rsidRPr="00D637D9">
        <w:tc>
          <w:tcPr>
            <w:tcW w:w="1559" w:type="dxa"/>
          </w:tcPr>
          <w:p w:rsidR="00661D87" w:rsidRPr="00D637D9" w:rsidRDefault="00661D87" w:rsidP="00A81A77">
            <w:pPr>
              <w:rPr>
                <w:i/>
                <w:sz w:val="20"/>
                <w:szCs w:val="20"/>
              </w:rPr>
            </w:pPr>
            <w:proofErr w:type="spellStart"/>
            <w:r w:rsidRPr="00D637D9">
              <w:rPr>
                <w:i/>
                <w:sz w:val="20"/>
                <w:szCs w:val="20"/>
              </w:rPr>
              <w:t>Lipoptena</w:t>
            </w:r>
            <w:proofErr w:type="spellEnd"/>
          </w:p>
          <w:p w:rsidR="00661D87" w:rsidRPr="00D637D9" w:rsidRDefault="00661D87" w:rsidP="00A81A77">
            <w:pPr>
              <w:rPr>
                <w:i/>
                <w:sz w:val="20"/>
                <w:szCs w:val="20"/>
              </w:rPr>
            </w:pPr>
            <w:proofErr w:type="spellStart"/>
            <w:r w:rsidRPr="00D637D9">
              <w:rPr>
                <w:i/>
                <w:sz w:val="20"/>
                <w:szCs w:val="20"/>
              </w:rPr>
              <w:t>cervi</w:t>
            </w:r>
            <w:proofErr w:type="spellEnd"/>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"(H\u00e4rk\u00f6nen &lt;i&gt;et al.&lt;/i&gt; 2010)", "manualFormatting": "H\u00e4rk\u00f6nen et al. 2010"}, "citationItems": [{"uris": ["http://www.mendeley.com/documents/?uuid=b403e60d-86d5-4c05-92e1-3f9896a06efa"], "id": "ITEM-1", "itemData": {"volume": "33", "publisher": "WILEY-BLACKWELL PUBLISHING, INC", "DOI": "10.1111/j.1600-0587.2009.05890.x", "type": "article-journal", "publisher-place": "COMMERCE PLACE, 350 MAIN ST, MALDEN 02148, MA USA", "author": [{"given": "Laura", "dropping-particle": "", "suffix": "", "family": "H\u00e4rk\u00f6nen", "parse-names": false, "non-dropping-particle": ""}, {"given": "Sauli", "dropping-particle": "", "suffix": "", "family": "H\u00e4rk\u00f6nen", "parse-names": false, "non-dropping-particle": ""}, {"given": "Arja", "dropping-particle": "", "suffix": "", "family": "Kaitala", "parse-names": false, "non-dropping-particle": ""}, {"given": "Sirpa", "dropping-particle": "", "suffix": "", "family": "Kaunisto", "parse-names": false, "non-dropping-particle": ""}, {"given": "Raine", "dropping-particle": "", "suffix": "", "family": "Kortet", "parse-names": false, "non-dropping-particle": ""}, {"given": "Sauli", "dropping-particle": "", "suffix": "", "family": "Laaksonen", "parse-names": false, "non-dropping-particle": ""}, {"given": "Hannu", "dropping-particle": "", "suffix": "", "family": "Yl\u00f6nen", "parse-names": false, "non-dropping-particle": ""}], "issued": {"date-parts": [["2010", "10", "9"]]}, "abstract": "The range expansion of organisms towards higher latitudes and altitudes is often limited by colder temperatures and the shorter growth season. In parasites, survival outside the host is most likely to affect their potential establishment in novel environments. We conducted a large scale transplant experiment to predict the potential spread of the deer ked Lipoptena cervi (Diptera: Hippoboscidae), a blood-feeding ectoparasite of boreal cervids. We studied the off-host survival and pupal development of deer ked in five sites along a latitudinal gradient reaching from its current range in central Finland to northernmost Fennoscandia. We showed that the deer ked is able to survive and complete its development even in arctic environments, 500 km northwards beyond the current range. Performance deteriorated steadily towards north, where lower summer temperatures prolonged the developmental period and shortened the suitable host search time by several weeks. The relevance of the experiments for estimating the spread of deer ked to the north is discussed.", "ISSN": "0906-7590", "page": "906-912", "note": "        \n\n        \n\n        From Duplicate 2 ( \n        \n\n        \n\n        \n\n        \n\n        \n\n        \n\n        \n\n        \n\n        \n\n        \n\n        \n\n        \n\n        \n\n        \n\n        \n\n        \n\n        \n\n        \n\n        \n\n        \n\n        \n\n        \n\n        \n\n        \n\n        \n\n        \n\n        \n\n        \n\n        \n\n        \n\n        \n\n        \n\n        \n\n        \n\n        \n\n        \n\n        \n\n        \n\n        \n\n        \n\n        \n\n        \n\n        \n\n        \n\n        \n\n        \n\n        \n\n        \n\n        \n\n        \n\n        \n\n        \n\n        \n\n        \n\n        \n\n        \n          \n\n          \n\n          \n\n          \n\n          \n\n          \n\n          \n\n          \n\n          \n\n          \n\n          \n\n          \n\n          \n\n          \n\n          \n\n          \n\n          \n\n          \n\n          \n\n          \n\n          \n\n          \n\n          \n\n          \n\n          \n\n          \n\n          \n\n          \n\n          \n\n          \n\n          \n\n        \n        \n\n        \n\n        \n\n        \n\n        \n\n        \n\n        \n\n        \n          \n\n          \n\n          \n\n          \n\n          \n\n          \n\n          \n\n        \n        \n\n        \n\n        \n\n        \n          \n\n          \n\n          \n\n        \n        \n          Predicting range expansion of an ectoparasite - the effect of spring and summer temperatures on deer ked Lipoptena cervi (Diptera: Hippoboscidae) performance along a latitudinal gradient\n        \n        \n          \n\n          \n\n          \n\n        \n        \n\n        \n\n        \n\n        \n          \n\n          \n\n          \n\n          \n\n          \n\n          \n\n          \n\n        \n        \n\n        \n\n        \n\n        \n\n        \n\n        \n\n        \n\n        \n          \n\n          \n\n          \n\n          \n\n          \n\n          \n\n          \n\n          \n\n          \n\n          \n\n          \n\n          \n\n          \n\n          \n\n          \n\n          \n\n          \n\n          \n\n          \n\n          \n\n          \n\n          \n\n          \n\n          \n\n          \n\n          \n\n          \n\n          \n\n          \n\n          \n\n          \n\n        \n        \n\n        \n\n        \n\n        \n\n        \n\n        \n\n        \n\n        \n\n        \n\n        \n\n        \n\n        \n\n        \n\n        \n\n        \n\n        \n\n        \n\n        \n\n        \n\n        \n\n        \n\n        \n\n        \n\n        \n\n        \n\n        \n\n        \n\n        \n\n        \n\n        \n\n        \n\n        \n\n        \n\n        \n\n        \n\n        \n\n        \n\n        \n\n        \n\n        \n\n        \n\n        \n\n        \n\n        \n\n        \n\n        \n\n        \n\n        \n\n        \n\n        \n\n        \n\n        \n\n        \n\n        \n\n        \n\n        - H\u00e4rk\u00f6nen, Laura; H\u00e4rk\u00f6nen, Sauli; Kaitala, Arja; Kaunisto, Sirpa; Kortet, Raine; Laaksonen, Sauli; Yl\u00f6nen, Hannu )\n\n          \n\n          \n\n          \n\n          \n\n          \n\n          \n\n          \n\n          \n\n          \n\n          \n\n          \n\n          \n\n          \n\n          \n\n          \n\n          \n\n          \n\n          \n\n          \n\n          \n\n          \n\n          \n\n          \n\n          \n\n          \n\n          \n\n          \n\n          \n\n          \n\n          \n\n          \n\n        \n        \n\n        \n\n        \n\n      ", "container-title": "Ecography", "title": "Predicting range expansion of an ectoparasite - the effect of spring and summer temperatures on deer ked Lipoptena cervi (Diptera: Hippoboscidae) performance along a latitudinal gradient", "issue": "5",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Härkönen et al. 2010</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P</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H</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 (3)</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(2)</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54 (-0.5, 345)</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438 (161, 798)</w:t>
            </w:r>
          </w:p>
        </w:tc>
      </w:tr>
      <w:tr w:rsidR="00661D87" w:rsidRPr="00D637D9">
        <w:tc>
          <w:tcPr>
            <w:tcW w:w="1559" w:type="dxa"/>
          </w:tcPr>
          <w:p w:rsidR="00661D87" w:rsidRPr="00D637D9" w:rsidRDefault="00661D87" w:rsidP="00A81A77">
            <w:pPr>
              <w:rPr>
                <w:i/>
                <w:sz w:val="20"/>
                <w:szCs w:val="20"/>
              </w:rPr>
            </w:pPr>
            <w:proofErr w:type="spellStart"/>
            <w:r w:rsidRPr="00D637D9">
              <w:rPr>
                <w:i/>
                <w:sz w:val="20"/>
                <w:szCs w:val="20"/>
              </w:rPr>
              <w:t>Lomatium</w:t>
            </w:r>
            <w:proofErr w:type="spellEnd"/>
            <w:r w:rsidRPr="00D637D9">
              <w:rPr>
                <w:i/>
                <w:sz w:val="20"/>
                <w:szCs w:val="20"/>
              </w:rPr>
              <w:t xml:space="preserve"> </w:t>
            </w:r>
            <w:proofErr w:type="spellStart"/>
            <w:r w:rsidRPr="00D637D9">
              <w:rPr>
                <w:i/>
                <w:sz w:val="20"/>
                <w:szCs w:val="20"/>
              </w:rPr>
              <w:t>dissectum</w:t>
            </w:r>
            <w:proofErr w:type="spellEnd"/>
            <w:r w:rsidRPr="00D637D9">
              <w:rPr>
                <w:i/>
                <w:sz w:val="20"/>
                <w:szCs w:val="20"/>
              </w:rPr>
              <w:t xml:space="preserve"> var. </w:t>
            </w:r>
            <w:proofErr w:type="spellStart"/>
            <w:r w:rsidRPr="00D637D9">
              <w:rPr>
                <w:i/>
                <w:sz w:val="20"/>
                <w:szCs w:val="20"/>
              </w:rPr>
              <w:t>dissectum</w:t>
            </w:r>
            <w:proofErr w:type="spellEnd"/>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"(Marsico &amp; Hellmann 2009)", "manualFormatting": "Marsico &amp; Hellmann 2009"}, "citationItems": [{"uris": ["http://www.mendeley.com/documents/?uuid=3a83a614-b4e2-4a0b-bccd-753827ffbe2e"], "id": "ITEM-1", "itemData": {"DOI": "10.1111/j.1600-0706.2009.17698.x", "type": "article-journal", "author": [{"given": "Travis D", "dropping-particle": "", "suffix": "", "family": "Marsico", "parse-names": false, "non-dropping-particle": ""}, {"given": "Jessica J", "dropping-particle": "", "suffix": "", "family": "Hellmann", "parse-names": false, "non-dropping-particle": ""}], "issued": {"date-parts": [["2009", "12"]]}, "abstract": "Determining limitations on poleward range expansion is important for predicting how climate change will alter the distribution of species. For most species, it is not known what factors set their distributional limits and the role dispersal limitation might play if range-limiting factors were altered. We conducted a transplant study of three related and co-occurring Lomatium species at their northern range limits to test competing hypotheses of range limitation. We added seeds to experimental plots inside and outside the species' geographic range (a regional treatment) in a replicated design with vegetation intact and vegetation reduced (a disturbance treatment) and with herbivore access and herbivore exclusion (an herbivory treatment). Germination and reemergence were measured through two growing seasons, along with community-level variables. A fully-crossed linear mixed model revealed that Lomatium survivorship outside the current range was as good or better than survivorship within the range, at least when the vegetative community remained intact. This suggests that the species are dispersal limited. Germination often was improved in the presence of an intact vegetative community, but this potentially facilitative effect was absent in second-year reemergence. Plots exposed to herbivory had slightly, but significantly, reduced germination, though reemergence did not differ between herbivore treatments. Lomatium dissectum, a rare species, had significantly lower survivorship than its congeners, suggesting that range shifts in rare taxa may be particularly difficult. Seed additions beyond species' range limits may be a strategy for overcoming dispersal limitation and assisting species in poleward migrations.", "ISSN": "0030-1299", "page": "1783-1792", "volume": "118", "container-title": "Oikos", "title": "Dispersal limitation inferred from an experimental translocation of Lomatium (Apiaceae) species outside their geographic ranges", "issue": "12",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Marsico &amp; Hellmann 2009</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C, S</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H</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0 (1)</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sz w:val="20"/>
                <w:szCs w:val="20"/>
              </w:rPr>
              <w:t>0 (1)</w:t>
            </w:r>
          </w:p>
        </w:tc>
        <w:tc>
          <w:tcPr>
            <w:tcW w:w="2160" w:type="dxa"/>
            <w:tcMar>
              <w:top w:w="43" w:type="dxa"/>
              <w:left w:w="29" w:type="dxa"/>
              <w:bottom w:w="43" w:type="dxa"/>
              <w:right w:w="29" w:type="dxa"/>
            </w:tcMar>
          </w:tcPr>
          <w:p w:rsidR="00661D87" w:rsidRPr="00D637D9" w:rsidRDefault="00661D87" w:rsidP="00482DFA">
            <w:pPr>
              <w:rPr>
                <w:sz w:val="20"/>
                <w:szCs w:val="20"/>
              </w:rPr>
            </w:pPr>
            <w:r w:rsidRPr="00D637D9">
              <w:rPr>
                <w:sz w:val="20"/>
                <w:szCs w:val="20"/>
              </w:rPr>
              <w:t>180</w:t>
            </w:r>
          </w:p>
        </w:tc>
        <w:tc>
          <w:tcPr>
            <w:tcW w:w="2520" w:type="dxa"/>
            <w:tcMar>
              <w:top w:w="43" w:type="dxa"/>
              <w:left w:w="29" w:type="dxa"/>
              <w:bottom w:w="43" w:type="dxa"/>
              <w:right w:w="29" w:type="dxa"/>
            </w:tcMar>
          </w:tcPr>
          <w:p w:rsidR="00661D87" w:rsidRPr="00D637D9" w:rsidRDefault="00661D87" w:rsidP="00482DFA">
            <w:pPr>
              <w:rPr>
                <w:sz w:val="20"/>
                <w:szCs w:val="20"/>
              </w:rPr>
            </w:pPr>
            <w:r w:rsidRPr="00D637D9">
              <w:rPr>
                <w:sz w:val="20"/>
                <w:szCs w:val="20"/>
              </w:rPr>
              <w:t>233</w:t>
            </w:r>
          </w:p>
        </w:tc>
      </w:tr>
      <w:tr w:rsidR="00661D87" w:rsidRPr="00D637D9">
        <w:tc>
          <w:tcPr>
            <w:tcW w:w="1559" w:type="dxa"/>
          </w:tcPr>
          <w:p w:rsidR="00661D87" w:rsidRPr="00D637D9" w:rsidRDefault="00661D87" w:rsidP="00A81A77">
            <w:pPr>
              <w:rPr>
                <w:i/>
                <w:sz w:val="20"/>
                <w:szCs w:val="20"/>
              </w:rPr>
            </w:pPr>
            <w:proofErr w:type="spellStart"/>
            <w:r w:rsidRPr="00D637D9">
              <w:rPr>
                <w:i/>
                <w:sz w:val="20"/>
                <w:szCs w:val="20"/>
              </w:rPr>
              <w:t>Lomatium</w:t>
            </w:r>
            <w:proofErr w:type="spellEnd"/>
            <w:r w:rsidRPr="00D637D9">
              <w:rPr>
                <w:i/>
                <w:sz w:val="20"/>
                <w:szCs w:val="20"/>
              </w:rPr>
              <w:t xml:space="preserve"> </w:t>
            </w:r>
            <w:proofErr w:type="spellStart"/>
            <w:r w:rsidRPr="00D637D9">
              <w:rPr>
                <w:i/>
                <w:sz w:val="20"/>
                <w:szCs w:val="20"/>
              </w:rPr>
              <w:t>nudicaule</w:t>
            </w:r>
            <w:proofErr w:type="spellEnd"/>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"(Marsico &amp; Hellmann 2009)", "manualFormatting": "Marsico &amp; Hellmann 2009"}, "citationItems": [{"uris": ["http://www.mendeley.com/documents/?uuid=3a83a614-b4e2-4a0b-bccd-753827ffbe2e"], "id": "ITEM-1", "itemData": {"DOI": "10.1111/j.1600-0706.2009.17698.x", "type": "article-journal", "author": [{"given": "Travis D", "dropping-particle": "", "suffix": "", "family": "Marsico", "parse-names": false, "non-dropping-particle": ""}, {"given": "Jessica J", "dropping-particle": "", "suffix": "", "family": "Hellmann", "parse-names": false, "non-dropping-particle": ""}], "issued": {"date-parts": [["2009", "12"]]}, "abstract": "Determining limitations on poleward range expansion is important for predicting how climate change will alter the distribution of species. For most species, it is not known what factors set their distributional limits and the role dispersal limitation might play if range-limiting factors were altered. We conducted a transplant study of three related and co-occurring Lomatium species at their northern range limits to test competing hypotheses of range limitation. We added seeds to experimental plots inside and outside the species' geographic range (a regional treatment) in a replicated design with vegetation intact and vegetation reduced (a disturbance treatment) and with herbivore access and herbivore exclusion (an herbivory treatment). Germination and reemergence were measured through two growing seasons, along with community-level variables. A fully-crossed linear mixed model revealed that Lomatium survivorship outside the current range was as good or better than survivorship within the range, at least when the vegetative community remained intact. This suggests that the species are dispersal limited. Germination often was improved in the presence of an intact vegetative community, but this potentially facilitative effect was absent in second-year reemergence. Plots exposed to herbivory had slightly, but significantly, reduced germination, though reemergence did not differ between herbivore treatments. Lomatium dissectum, a rare species, had significantly lower survivorship than its congeners, suggesting that range shifts in rare taxa may be particularly difficult. Seed additions beyond species' range limits may be a strategy for overcoming dispersal limitation and assisting species in poleward migrations.", "ISSN": "0030-1299", "page": "1783-1792", "volume": "118", "container-title": "Oikos", "title": "Dispersal limitation inferred from an experimental translocation of Lomatium (Apiaceae) species outside their geographic ranges", "issue": "12",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Marsico &amp; Hellmann 2009</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C, S</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H</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0 (1)</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sz w:val="20"/>
                <w:szCs w:val="20"/>
              </w:rPr>
              <w:t>0 (1)</w:t>
            </w:r>
          </w:p>
        </w:tc>
        <w:tc>
          <w:tcPr>
            <w:tcW w:w="2160" w:type="dxa"/>
            <w:tcMar>
              <w:top w:w="43" w:type="dxa"/>
              <w:left w:w="29" w:type="dxa"/>
              <w:bottom w:w="43" w:type="dxa"/>
              <w:right w:w="29" w:type="dxa"/>
            </w:tcMar>
          </w:tcPr>
          <w:p w:rsidR="00661D87" w:rsidRPr="00D637D9" w:rsidRDefault="00661D87" w:rsidP="00482DFA">
            <w:pPr>
              <w:rPr>
                <w:sz w:val="20"/>
                <w:szCs w:val="20"/>
              </w:rPr>
            </w:pPr>
            <w:r w:rsidRPr="00D637D9">
              <w:rPr>
                <w:sz w:val="20"/>
                <w:szCs w:val="20"/>
              </w:rPr>
              <w:t>93</w:t>
            </w:r>
          </w:p>
        </w:tc>
        <w:tc>
          <w:tcPr>
            <w:tcW w:w="2520" w:type="dxa"/>
            <w:tcMar>
              <w:top w:w="43" w:type="dxa"/>
              <w:left w:w="29" w:type="dxa"/>
              <w:bottom w:w="43" w:type="dxa"/>
              <w:right w:w="29" w:type="dxa"/>
            </w:tcMar>
          </w:tcPr>
          <w:p w:rsidR="00661D87" w:rsidRPr="00D637D9" w:rsidRDefault="00661D87" w:rsidP="00482DFA">
            <w:pPr>
              <w:rPr>
                <w:sz w:val="20"/>
                <w:szCs w:val="20"/>
              </w:rPr>
            </w:pPr>
            <w:r w:rsidRPr="00D637D9">
              <w:rPr>
                <w:sz w:val="20"/>
                <w:szCs w:val="20"/>
              </w:rPr>
              <w:t>233</w:t>
            </w:r>
          </w:p>
        </w:tc>
      </w:tr>
      <w:tr w:rsidR="00661D87" w:rsidRPr="00D637D9">
        <w:tc>
          <w:tcPr>
            <w:tcW w:w="1559" w:type="dxa"/>
          </w:tcPr>
          <w:p w:rsidR="00661D87" w:rsidRPr="00D637D9" w:rsidRDefault="00661D87" w:rsidP="00A81A77">
            <w:pPr>
              <w:rPr>
                <w:i/>
                <w:sz w:val="20"/>
                <w:szCs w:val="20"/>
              </w:rPr>
            </w:pPr>
            <w:proofErr w:type="spellStart"/>
            <w:r w:rsidRPr="00D637D9">
              <w:rPr>
                <w:i/>
                <w:sz w:val="20"/>
                <w:szCs w:val="20"/>
              </w:rPr>
              <w:t>Lomatium</w:t>
            </w:r>
            <w:proofErr w:type="spellEnd"/>
            <w:r w:rsidRPr="00D637D9">
              <w:rPr>
                <w:i/>
                <w:sz w:val="20"/>
                <w:szCs w:val="20"/>
              </w:rPr>
              <w:t xml:space="preserve"> </w:t>
            </w:r>
            <w:proofErr w:type="spellStart"/>
            <w:r w:rsidRPr="00D637D9">
              <w:rPr>
                <w:i/>
                <w:sz w:val="20"/>
                <w:szCs w:val="20"/>
              </w:rPr>
              <w:t>utricularium</w:t>
            </w:r>
            <w:proofErr w:type="spellEnd"/>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"(Marsico &amp; Hellmann 2009)", "manualFormatting": "Marsico &amp; Hellmann 2009"}, "citationItems": [{"uris": ["http://www.mendeley.com/documents/?uuid=3a83a614-b4e2-4a0b-bccd-753827ffbe2e"], "id": "ITEM-1", "itemData": {"DOI": "10.1111/j.1600-0706.2009.17698.x", "type": "article-journal", "author": [{"given": "Travis D", "dropping-particle": "", "suffix": "", "family": "Marsico", "parse-names": false, "non-dropping-particle": ""}, {"given": "Jessica J", "dropping-particle": "", "suffix": "", "family": "Hellmann", "parse-names": false, "non-dropping-particle": ""}], "issued": {"date-parts": [["2009", "12"]]}, "abstract": "Determining limitations on poleward range expansion is important for predicting how climate change will alter the distribution of species. For most species, it is not known what factors set their distributional limits and the role dispersal limitation might play if range-limiting factors were altered. We conducted a transplant study of three related and co-occurring Lomatium species at their northern range limits to test competing hypotheses of range limitation. We added seeds to experimental plots inside and outside the species' geographic range (a regional treatment) in a replicated design with vegetation intact and vegetation reduced (a disturbance treatment) and with herbivore access and herbivore exclusion (an herbivory treatment). Germination and reemergence were measured through two growing seasons, along with community-level variables. A fully-crossed linear mixed model revealed that Lomatium survivorship outside the current range was as good or better than survivorship within the range, at least when the vegetative community remained intact. This suggests that the species are dispersal limited. Germination often was improved in the presence of an intact vegetative community, but this potentially facilitative effect was absent in second-year reemergence. Plots exposed to herbivory had slightly, but significantly, reduced germination, though reemergence did not differ between herbivore treatments. Lomatium dissectum, a rare species, had significantly lower survivorship than its congeners, suggesting that range shifts in rare taxa may be particularly difficult. Seed additions beyond species' range limits may be a strategy for overcoming dispersal limitation and assisting species in poleward migrations.", "ISSN": "0030-1299", "page": "1783-1792", "volume": "118", "container-title": "Oikos", "title": "Dispersal limitation inferred from an experimental translocation of Lomatium (Apiaceae) species outside their geographic ranges", "issue": "12",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Marsico &amp; Hellmann 2009</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C, S</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H</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0 (1)</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sz w:val="20"/>
                <w:szCs w:val="20"/>
              </w:rPr>
              <w:t>0 (1)</w:t>
            </w:r>
          </w:p>
        </w:tc>
        <w:tc>
          <w:tcPr>
            <w:tcW w:w="2160" w:type="dxa"/>
            <w:tcMar>
              <w:top w:w="43" w:type="dxa"/>
              <w:left w:w="29" w:type="dxa"/>
              <w:bottom w:w="43" w:type="dxa"/>
              <w:right w:w="29" w:type="dxa"/>
            </w:tcMar>
          </w:tcPr>
          <w:p w:rsidR="00661D87" w:rsidRPr="00D637D9" w:rsidRDefault="00661D87" w:rsidP="00482DFA">
            <w:pPr>
              <w:rPr>
                <w:sz w:val="20"/>
                <w:szCs w:val="20"/>
              </w:rPr>
            </w:pPr>
            <w:r w:rsidRPr="00D637D9">
              <w:rPr>
                <w:sz w:val="20"/>
                <w:szCs w:val="20"/>
              </w:rPr>
              <w:t>140</w:t>
            </w:r>
          </w:p>
        </w:tc>
        <w:tc>
          <w:tcPr>
            <w:tcW w:w="2520" w:type="dxa"/>
            <w:tcMar>
              <w:top w:w="43" w:type="dxa"/>
              <w:left w:w="29" w:type="dxa"/>
              <w:bottom w:w="43" w:type="dxa"/>
              <w:right w:w="29" w:type="dxa"/>
            </w:tcMar>
          </w:tcPr>
          <w:p w:rsidR="00661D87" w:rsidRPr="00D637D9" w:rsidRDefault="00661D87" w:rsidP="00482DFA">
            <w:pPr>
              <w:rPr>
                <w:sz w:val="20"/>
                <w:szCs w:val="20"/>
              </w:rPr>
            </w:pPr>
            <w:r w:rsidRPr="00D637D9">
              <w:rPr>
                <w:sz w:val="20"/>
                <w:szCs w:val="20"/>
              </w:rPr>
              <w:t>233</w:t>
            </w:r>
          </w:p>
        </w:tc>
      </w:tr>
      <w:tr w:rsidR="00661D87" w:rsidRPr="00D637D9">
        <w:tc>
          <w:tcPr>
            <w:tcW w:w="1559" w:type="dxa"/>
          </w:tcPr>
          <w:p w:rsidR="00661D87" w:rsidRPr="00D637D9" w:rsidRDefault="00661D87" w:rsidP="00A81A77">
            <w:pPr>
              <w:rPr>
                <w:i/>
                <w:sz w:val="20"/>
                <w:szCs w:val="20"/>
              </w:rPr>
            </w:pPr>
            <w:r w:rsidRPr="00D637D9">
              <w:rPr>
                <w:i/>
                <w:sz w:val="20"/>
                <w:szCs w:val="20"/>
              </w:rPr>
              <w:t>Mimulus cardinalis</w:t>
            </w:r>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"(Angert &amp; Schemske 2005)", "manualFormatting": "Angert &amp; Schemske 2005"}, "citationItems": [{"uris": ["http://www.mendeley.com/documents/?uuid=848aa109-a92c-4ad5-a1c3-052cbd9adecc"], "id": "ITEM-1", "itemData": {"type": "article-journal", "author": [{"given": "Amy L", "dropping-particle": "", "suffix": "", "family": "Angert", "parse-names": false, "non-dropping-particle": ""}, {"given": "Douglas W", "dropping-particle": "", "suffix": "", "family": "Schemske", "parse-names": false, "non-dropping-particle": ""}], "issued": {"date-parts": [["2005", "8"]]}, "abstract": "Every species occupies a limited geographic area, but it remains unclear why traits that limit distribution do not evolve to allow range expansion. Hypotheses for the evolutionary stability of geographic ranges assume that species are maladapted at the range boundary and unfit beyond the current range, but this assumption has rarely been tested. To examine how fitness varies across species' ranges, we reciprocally transplanted two species of monkeyflowers, Mimulus cardinalis and M. lewisii, within and beyond their present elevation ranges. We used individuals of known parentage from populations collected across the elevation ranges of both species to examine whether populations are adapted to position within the range. For both species we found the greatest average fitness at elevations central within the range, reduced fitness at the range margin, and zero or near-zero fitness when transplanted beyond their present elevation range limits. However, the underlying causes of fitness variation differed between the species. At high elevations beyond its range, M. cardinalis displayed reduced growth and fecundity, whereas at low elevations M. lewisii experienced high mortality. Weak differences in performance were observed among populations within each species and these were not related to elevation of origin. Low fitness of both species at their range margin and weak differentiation among populations within each species suggest that adaptation to the environment at and beyond the range margin is hindered, illustrating that range margins provide an interesting system in which to study limits to adaptation.", "ISSN": "0014-3820", "page": "1671-84", "volume": "59", "container-title": "Evolution", "title": "The evolution of species' distributions: reciprocal transplants across the elevation ranges of Mimulus cardinalis and M. lewisii.", "PMID": "16329239", "issue": "8",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Angert &amp; Schemske 2005</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S</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V</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2 (2)</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(2)</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-256 (-272, -240)</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60 (18, 100)</w:t>
            </w:r>
          </w:p>
        </w:tc>
      </w:tr>
      <w:tr w:rsidR="00661D87" w:rsidRPr="00D637D9">
        <w:tc>
          <w:tcPr>
            <w:tcW w:w="1559" w:type="dxa"/>
          </w:tcPr>
          <w:p w:rsidR="00661D87" w:rsidRPr="00D637D9" w:rsidRDefault="00661D87" w:rsidP="00A81A77">
            <w:pPr>
              <w:rPr>
                <w:i/>
                <w:sz w:val="20"/>
                <w:szCs w:val="20"/>
              </w:rPr>
            </w:pPr>
            <w:r w:rsidRPr="00D637D9">
              <w:rPr>
                <w:i/>
                <w:sz w:val="20"/>
                <w:szCs w:val="20"/>
              </w:rPr>
              <w:t>Mimulus</w:t>
            </w:r>
          </w:p>
          <w:p w:rsidR="00661D87" w:rsidRPr="00D637D9" w:rsidRDefault="00661D87" w:rsidP="00A81A77">
            <w:pPr>
              <w:rPr>
                <w:i/>
                <w:sz w:val="20"/>
                <w:szCs w:val="20"/>
              </w:rPr>
            </w:pPr>
            <w:proofErr w:type="spellStart"/>
            <w:r w:rsidRPr="00D637D9">
              <w:rPr>
                <w:i/>
                <w:sz w:val="20"/>
                <w:szCs w:val="20"/>
              </w:rPr>
              <w:t>lewisii</w:t>
            </w:r>
            <w:proofErr w:type="spellEnd"/>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"(Angert &amp; Schemske 2005)", "manualFormatting": "Angert &amp; Schemske 2005"}, "citationItems": [{"uris": ["http://www.mendeley.com/documents/?uuid=848aa109-a92c-4ad5-a1c3-052cbd9adecc"], "id": "ITEM-1", "itemData": {"type": "article-journal", "author": [{"given": "Amy L", "dropping-particle": "", "suffix": "", "family": "Angert", "parse-names": false, "non-dropping-particle": ""}, {"given": "Douglas W", "dropping-particle": "", "suffix": "", "family": "Schemske", "parse-names": false, "non-dropping-particle": ""}], "issued": {"date-parts": [["2005", "8"]]}, "abstract": "Every species occupies a limited geographic area, but it remains unclear why traits that limit distribution do not evolve to allow range expansion. Hypotheses for the evolutionary stability of geographic ranges assume that species are maladapted at the range boundary and unfit beyond the current range, but this assumption has rarely been tested. To examine how fitness varies across species' ranges, we reciprocally transplanted two species of monkeyflowers, Mimulus cardinalis and M. lewisii, within and beyond their present elevation ranges. We used individuals of known parentage from populations collected across the elevation ranges of both species to examine whether populations are adapted to position within the range. For both species we found the greatest average fitness at elevations central within the range, reduced fitness at the range margin, and zero or near-zero fitness when transplanted beyond their present elevation range limits. However, the underlying causes of fitness variation differed between the species. At high elevations beyond its range, M. cardinalis displayed reduced growth and fecundity, whereas at low elevations M. lewisii experienced high mortality. Weak differences in performance were observed among populations within each species and these were not related to elevation of origin. Low fitness of both species at their range margin and weak differentiation among populations within each species suggest that adaptation to the environment at and beyond the range margin is hindered, illustrating that range margins provide an interesting system in which to study limits to adaptation.", "ISSN": "0014-3820", "page": "1671-84", "volume": "59", "container-title": "Evolution", "title": "The evolution of species' distributions: reciprocal transplants across the elevation ranges of Mimulus cardinalis and M. lewisii.", "PMID": "16329239", "issue": "8",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Angert &amp; Schemske 2005</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S</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V</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0 (1)</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0(3)</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18</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68 (50, 100)</w:t>
            </w:r>
          </w:p>
        </w:tc>
      </w:tr>
      <w:tr w:rsidR="00661D87" w:rsidRPr="00D637D9">
        <w:tc>
          <w:tcPr>
            <w:tcW w:w="1559" w:type="dxa"/>
          </w:tcPr>
          <w:p w:rsidR="00661D87" w:rsidRPr="00D637D9" w:rsidRDefault="00661D87" w:rsidP="00A81A77">
            <w:pPr>
              <w:rPr>
                <w:i/>
                <w:sz w:val="20"/>
                <w:szCs w:val="20"/>
              </w:rPr>
            </w:pPr>
            <w:r w:rsidRPr="00D637D9">
              <w:rPr>
                <w:i/>
                <w:sz w:val="20"/>
                <w:szCs w:val="20"/>
              </w:rPr>
              <w:t xml:space="preserve">Mnium </w:t>
            </w:r>
            <w:proofErr w:type="spellStart"/>
            <w:r w:rsidRPr="00D637D9">
              <w:rPr>
                <w:i/>
                <w:sz w:val="20"/>
                <w:szCs w:val="20"/>
              </w:rPr>
              <w:t>arizonicum</w:t>
            </w:r>
            <w:proofErr w:type="spellEnd"/>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"(Cleavitt 2004)", "manualFormatting": "Cleavitt 2004"}, "citationItems": [{"uris": ["http://www.mendeley.com/documents/?uuid=3a9bb4a0-e001-4354-b4a3-0453594e8709"], "id": "ITEM-1", "itemData": {"DOI": "10.1023/B:VEGE.0000049099.11785.ba", "type": "article-journal", "author": [{"given": "Natalie", "dropping-particle": "", "suffix": "", "family": "Cleavitt", "parse-names": false, "non-dropping-particle": ""}], "issued": {"date-parts": [["2004"]]}, "ISSN": "1385-0237", "page": "205-216", "volume": "174", "container-title": "Plant Ecology", "title": "Comparative ecology of a lowland and a subalpine species of Mnium in the northern Rocky Mountains", "issue": "2",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Cleavitt 2004</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P</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V</w:t>
            </w:r>
          </w:p>
        </w:tc>
        <w:tc>
          <w:tcPr>
            <w:tcW w:w="1530" w:type="dxa"/>
            <w:tcMar>
              <w:top w:w="43" w:type="dxa"/>
              <w:left w:w="29" w:type="dxa"/>
              <w:bottom w:w="43" w:type="dxa"/>
              <w:right w:w="29" w:type="dxa"/>
            </w:tcMar>
          </w:tcPr>
          <w:p w:rsidR="00661D87" w:rsidRPr="00D637D9" w:rsidRDefault="00661D87" w:rsidP="00A81A77">
            <w:r w:rsidRPr="00D637D9">
              <w:rPr>
                <w:sz w:val="20"/>
                <w:szCs w:val="20"/>
              </w:rPr>
              <w:t>0 (</w:t>
            </w:r>
            <w:proofErr w:type="gramStart"/>
            <w:r w:rsidRPr="00D637D9">
              <w:rPr>
                <w:sz w:val="20"/>
                <w:szCs w:val="20"/>
              </w:rPr>
              <w:t>4)</w:t>
            </w:r>
            <w:r w:rsidRPr="00D637D9">
              <w:rPr>
                <w:rFonts w:cs="Arial"/>
                <w:vertAlign w:val="superscript"/>
              </w:rPr>
              <w:t>§</w:t>
            </w:r>
            <w:proofErr w:type="gramEnd"/>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5 (5)</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100 (100, 100)</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51 (47, 61)</w:t>
            </w:r>
          </w:p>
        </w:tc>
      </w:tr>
      <w:tr w:rsidR="00661D87" w:rsidRPr="00D637D9">
        <w:tc>
          <w:tcPr>
            <w:tcW w:w="1559" w:type="dxa"/>
          </w:tcPr>
          <w:p w:rsidR="00661D87" w:rsidRPr="00D637D9" w:rsidRDefault="00661D87" w:rsidP="00A81A77">
            <w:pPr>
              <w:rPr>
                <w:i/>
                <w:sz w:val="20"/>
                <w:szCs w:val="20"/>
              </w:rPr>
            </w:pPr>
            <w:r w:rsidRPr="00D637D9">
              <w:rPr>
                <w:i/>
                <w:sz w:val="20"/>
                <w:szCs w:val="20"/>
              </w:rPr>
              <w:t xml:space="preserve">Mnium </w:t>
            </w:r>
            <w:proofErr w:type="spellStart"/>
            <w:r w:rsidRPr="00D637D9">
              <w:rPr>
                <w:i/>
                <w:sz w:val="20"/>
                <w:szCs w:val="20"/>
              </w:rPr>
              <w:t>spinulosum</w:t>
            </w:r>
            <w:proofErr w:type="spellEnd"/>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"(Cleavitt 2004)", "manualFormatting": "Cleavitt 2004"}, "citationItems": [{"uris": ["http://www.mendeley.com/documents/?uuid=3a9bb4a0-e001-4354-b4a3-0453594e8709"], "id": "ITEM-1", "itemData": {"DOI": "10.1023/B:VEGE.0000049099.11785.ba", "type": "article-journal", "author": [{"given": "Natalie", "dropping-particle": "", "suffix": "", "family": "Cleavitt", "parse-names": false, "non-dropping-particle": ""}], "issued": {"date-parts": [["2004"]]}, "ISSN": "1385-0237", "page": "205-216", "volume": "174", "container-title": "Plant Ecology", "title": "Comparative ecology of a lowland and a subalpine species of Mnium in the northern Rocky Mountains", "issue": "2",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Cleavitt 2004</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P</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V</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5 (5)</w:t>
            </w:r>
          </w:p>
        </w:tc>
        <w:tc>
          <w:tcPr>
            <w:tcW w:w="1440" w:type="dxa"/>
            <w:tcMar>
              <w:top w:w="43" w:type="dxa"/>
              <w:left w:w="29" w:type="dxa"/>
              <w:bottom w:w="43" w:type="dxa"/>
              <w:right w:w="29" w:type="dxa"/>
            </w:tcMar>
          </w:tcPr>
          <w:p w:rsidR="00661D87" w:rsidRPr="00D637D9" w:rsidRDefault="00661D87" w:rsidP="00A81A77">
            <w:r w:rsidRPr="00D637D9">
              <w:rPr>
                <w:bCs/>
                <w:sz w:val="20"/>
                <w:szCs w:val="20"/>
              </w:rPr>
              <w:t>0 (</w:t>
            </w:r>
            <w:proofErr w:type="gramStart"/>
            <w:r w:rsidRPr="00D637D9">
              <w:rPr>
                <w:bCs/>
                <w:sz w:val="20"/>
                <w:szCs w:val="20"/>
              </w:rPr>
              <w:t>4)</w:t>
            </w:r>
            <w:r w:rsidRPr="00D637D9">
              <w:rPr>
                <w:rFonts w:cs="Arial"/>
                <w:vertAlign w:val="superscript"/>
              </w:rPr>
              <w:t>§</w:t>
            </w:r>
            <w:proofErr w:type="gramEnd"/>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-898 (-912, -897)</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51 (47, 61)</w:t>
            </w:r>
          </w:p>
        </w:tc>
      </w:tr>
      <w:tr w:rsidR="00661D87" w:rsidRPr="00D637D9">
        <w:tc>
          <w:tcPr>
            <w:tcW w:w="1559" w:type="dxa"/>
          </w:tcPr>
          <w:p w:rsidR="00661D87" w:rsidRPr="00D637D9" w:rsidRDefault="00661D87" w:rsidP="00A81A77">
            <w:pPr>
              <w:rPr>
                <w:i/>
                <w:sz w:val="20"/>
                <w:szCs w:val="20"/>
              </w:rPr>
            </w:pPr>
            <w:proofErr w:type="spellStart"/>
            <w:r w:rsidRPr="00D637D9">
              <w:rPr>
                <w:i/>
                <w:sz w:val="20"/>
                <w:szCs w:val="20"/>
              </w:rPr>
              <w:lastRenderedPageBreak/>
              <w:t>Pegaeophyton</w:t>
            </w:r>
            <w:proofErr w:type="spellEnd"/>
            <w:r w:rsidRPr="00D637D9">
              <w:rPr>
                <w:i/>
                <w:sz w:val="20"/>
                <w:szCs w:val="20"/>
              </w:rPr>
              <w:t xml:space="preserve"> </w:t>
            </w:r>
            <w:proofErr w:type="spellStart"/>
            <w:r w:rsidRPr="00D637D9">
              <w:rPr>
                <w:i/>
                <w:sz w:val="20"/>
                <w:szCs w:val="20"/>
              </w:rPr>
              <w:t>scapiflorum</w:t>
            </w:r>
            <w:proofErr w:type="spellEnd"/>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"(Klime\u0161 &amp; Dolezal 2010)", "manualFormatting": "Klime\u0161 &amp; Dolezal 2010"}, "citationItems": [{"uris": ["http://www.mendeley.com/documents/?uuid=40893abc-0288-4d49-8bdf-bdc2ec912b18"], "id": "ITEM-1", "itemData": {"title": "An experimental assessment of the upper elevational limit of flowering plants in the western Himalayas", "issued": {"date-parts": [["2010"]]}, "author": [{"given": "Leos", "dropping-particle": "", "suffix": "", "family": "Klime\u0161", "parse-names": false, "non-dropping-particle": ""}, {"given": "Jiri", "dropping-particle": "", "suffix": "", "family": "Dolezal", "parse-names": false, "non-dropping-particle": ""}], "page": "590-596", "volume": "33", "container-title": "Ecography", "type": "article-journal",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Klimeš &amp; Dolezal 2010</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S</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V</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3 (3)</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(1)</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-114 (-114, -114)</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1.5 (1.2, 1.8)</w:t>
            </w:r>
          </w:p>
        </w:tc>
      </w:tr>
      <w:tr w:rsidR="00661D87" w:rsidRPr="00D637D9">
        <w:tc>
          <w:tcPr>
            <w:tcW w:w="1559" w:type="dxa"/>
          </w:tcPr>
          <w:p w:rsidR="00661D87" w:rsidRPr="00D637D9" w:rsidRDefault="00661D87" w:rsidP="00A81A77">
            <w:pPr>
              <w:rPr>
                <w:i/>
                <w:sz w:val="20"/>
                <w:szCs w:val="20"/>
              </w:rPr>
            </w:pPr>
            <w:r w:rsidRPr="00D637D9">
              <w:rPr>
                <w:i/>
                <w:sz w:val="20"/>
                <w:szCs w:val="20"/>
              </w:rPr>
              <w:t xml:space="preserve">Phlox </w:t>
            </w:r>
            <w:proofErr w:type="spellStart"/>
            <w:r w:rsidRPr="00D637D9">
              <w:rPr>
                <w:i/>
                <w:sz w:val="20"/>
                <w:szCs w:val="20"/>
              </w:rPr>
              <w:t>drummondii</w:t>
            </w:r>
            <w:proofErr w:type="spellEnd"/>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"(Levin &amp; Clay 1984)", "manualFormatting": "Levin &amp; Clay 1984"}, "citationItems": [{"uris": ["http://www.mendeley.com/documents/?uuid=06f26ec1-834b-4683-8edf-0ee270e47219"], "id": "ITEM-1", "itemData": {"type": "article-journal", "author": [{"given": "Donald A", "dropping-particle": "", "suffix": "", "family": "Levin", "parse-names": false, "non-dropping-particle": ""}, {"given": "Keith", "dropping-particle": "", "suffix": "", "family": "Clay", "parse-names": false, "non-dropping-particle": ""}], "issued": {"date-parts": [["1984"]]}, "title": "Dynamics of synthetic Phlox drummondii populations at the species margin", "page": "1040-1050", "volume": "71", "container-title": "American Journal of Botany", "issue": "8",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Levin &amp; Clay 1984</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S</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H</w:t>
            </w:r>
          </w:p>
        </w:tc>
        <w:tc>
          <w:tcPr>
            <w:tcW w:w="1530" w:type="dxa"/>
            <w:tcMar>
              <w:top w:w="43" w:type="dxa"/>
              <w:left w:w="29" w:type="dxa"/>
              <w:bottom w:w="43" w:type="dxa"/>
              <w:right w:w="29" w:type="dxa"/>
            </w:tcMar>
          </w:tcPr>
          <w:p w:rsidR="00661D87" w:rsidRPr="00D637D9" w:rsidRDefault="00661D87" w:rsidP="00A81A77">
            <w:r w:rsidRPr="00D637D9">
              <w:rPr>
                <w:sz w:val="20"/>
                <w:szCs w:val="20"/>
              </w:rPr>
              <w:t>4 (</w:t>
            </w:r>
            <w:proofErr w:type="gramStart"/>
            <w:r w:rsidRPr="00D637D9">
              <w:rPr>
                <w:sz w:val="20"/>
                <w:szCs w:val="20"/>
              </w:rPr>
              <w:t>4)</w:t>
            </w:r>
            <w:r w:rsidRPr="00D637D9">
              <w:rPr>
                <w:rFonts w:cs="Arial"/>
                <w:vertAlign w:val="superscript"/>
              </w:rPr>
              <w:t>§</w:t>
            </w:r>
            <w:proofErr w:type="gramEnd"/>
          </w:p>
        </w:tc>
        <w:tc>
          <w:tcPr>
            <w:tcW w:w="1440" w:type="dxa"/>
            <w:tcMar>
              <w:top w:w="43" w:type="dxa"/>
              <w:left w:w="29" w:type="dxa"/>
              <w:bottom w:w="43" w:type="dxa"/>
              <w:right w:w="29" w:type="dxa"/>
            </w:tcMar>
          </w:tcPr>
          <w:p w:rsidR="00661D87" w:rsidRPr="00D637D9" w:rsidRDefault="00661D87" w:rsidP="00A81A77">
            <w:r w:rsidRPr="00D637D9">
              <w:rPr>
                <w:bCs/>
                <w:sz w:val="20"/>
                <w:szCs w:val="20"/>
              </w:rPr>
              <w:t>0 (</w:t>
            </w:r>
            <w:proofErr w:type="gramStart"/>
            <w:r w:rsidRPr="00D637D9">
              <w:rPr>
                <w:bCs/>
                <w:sz w:val="20"/>
                <w:szCs w:val="20"/>
              </w:rPr>
              <w:t>5)</w:t>
            </w:r>
            <w:r w:rsidRPr="00D637D9">
              <w:rPr>
                <w:rFonts w:cs="Arial"/>
                <w:vertAlign w:val="superscript"/>
              </w:rPr>
              <w:t>§</w:t>
            </w:r>
            <w:proofErr w:type="gramEnd"/>
          </w:p>
        </w:tc>
        <w:tc>
          <w:tcPr>
            <w:tcW w:w="2160" w:type="dxa"/>
            <w:tcMar>
              <w:top w:w="43" w:type="dxa"/>
              <w:left w:w="29" w:type="dxa"/>
              <w:bottom w:w="43" w:type="dxa"/>
              <w:right w:w="29" w:type="dxa"/>
            </w:tcMar>
          </w:tcPr>
          <w:p w:rsidR="00661D87" w:rsidRPr="00D637D9" w:rsidRDefault="00661D87" w:rsidP="00A81A77">
            <w:pPr>
              <w:rPr>
                <w:sz w:val="20"/>
                <w:szCs w:val="20"/>
                <w:highlight w:val="cyan"/>
              </w:rPr>
            </w:pPr>
            <w:r w:rsidRPr="00D637D9">
              <w:rPr>
                <w:sz w:val="20"/>
                <w:szCs w:val="20"/>
              </w:rPr>
              <w:t>-56 (-54, -57)</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4.2 (1.4, 12)</w:t>
            </w:r>
          </w:p>
        </w:tc>
      </w:tr>
      <w:tr w:rsidR="00661D87" w:rsidRPr="00D637D9">
        <w:tc>
          <w:tcPr>
            <w:tcW w:w="1559" w:type="dxa"/>
          </w:tcPr>
          <w:p w:rsidR="00661D87" w:rsidRPr="00D637D9" w:rsidRDefault="00661D87" w:rsidP="00A81A77">
            <w:pPr>
              <w:rPr>
                <w:i/>
                <w:sz w:val="20"/>
                <w:szCs w:val="20"/>
              </w:rPr>
            </w:pPr>
            <w:proofErr w:type="spellStart"/>
            <w:r w:rsidRPr="00D637D9">
              <w:rPr>
                <w:i/>
                <w:sz w:val="20"/>
                <w:szCs w:val="20"/>
              </w:rPr>
              <w:t>Picea</w:t>
            </w:r>
            <w:proofErr w:type="spellEnd"/>
            <w:r w:rsidRPr="00D637D9">
              <w:rPr>
                <w:i/>
                <w:sz w:val="20"/>
                <w:szCs w:val="20"/>
              </w:rPr>
              <w:t xml:space="preserve"> </w:t>
            </w:r>
          </w:p>
          <w:p w:rsidR="00661D87" w:rsidRPr="00D637D9" w:rsidRDefault="00661D87" w:rsidP="00A81A77">
            <w:pPr>
              <w:rPr>
                <w:i/>
                <w:sz w:val="20"/>
                <w:szCs w:val="20"/>
              </w:rPr>
            </w:pPr>
            <w:r w:rsidRPr="00D637D9">
              <w:rPr>
                <w:i/>
                <w:sz w:val="20"/>
                <w:szCs w:val="20"/>
              </w:rPr>
              <w:t>glauca</w:t>
            </w:r>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"(Hobbie &amp; Chapin III 1998)", "manualFormatting": "Hobbie &amp; Chapin  1998"}, "citationItems": [{"uris": ["http://www.mendeley.com/documents/?uuid=21c46071-cf71-4981-9163-98eb1a4c6706"], "id": "ITEM-1", "itemData": {"DOI": "10.1046/j.1365-2745.1998.00278.x", "type": "article-journal", "author": [{"given": "Sarah E", "dropping-particle": "", "suffix": "", "family": "Hobbie", "parse-names": false, "non-dropping-particle": ""}, {"given": "F Stuart", "dropping-particle": "", "suffix": "", "family": "Chapin III", "parse-names": false, "non-dropping-particle": ""}], "issued": {"date-parts": [["1998", "6"]]}, "abstract": "1 Five treeline species had low seed germination rates and low survivorship and growth of seedlings when transplanted into Alaskan tundra. Seed germination of all species increased with experimental warming, suggesting that the present treeline may in part result from unsuccessful recruitment under cold conditions. 2 Growth, biomass and survivorship of seedlings of treeline species transplanted into tundra were largely unaffected by experimental warming. However, transplanted seedlings of three species (Betula papyrifera, Picea glauca and Populus tremuloides) grew more when below-ground competition with the extant community was reduced. All three measures of transplant performance were greater in shrub tundra than in the less productive tussock or heath tundra. Establishment of trees in tundra may thus be prevented by low resource availability and competition. 3 Two species (Alnus crispa and Populus balsamifera) had low seed germination and survivorship of germinated seeds; transplants of these species did not respond to the manipulations and lost biomass following transplanting into tundra. Isolated populations of these two species north of the present treeline in arctic Alaska probably became established during mid-Holocene warming rather than in recent times. 4 Of all the species studied here, Picea glauca was the most likely to invade intact upland tundra. Its seeds had the highest germination rates and it was the only species whose seedlings survived subsequently. Furthermore, transplanted seedlings of Picea glauca had relatively high survivorship and positive growth in tundra, especially in treatments that increased air temperature or nutrient availability, two factors likely to increase with climate warming.", "ISSN": "0022-0477", "page": "449-461", "volume": "86", "container-title": "Journal of Ecology", "title": "An experimental test of limits to tree establishment in Arctic tundra", "issue": "3",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Hobbie &amp; Chapin  1998</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B</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H</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 (1)</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(1)</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-181</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426</w:t>
            </w:r>
          </w:p>
        </w:tc>
      </w:tr>
      <w:tr w:rsidR="00661D87" w:rsidRPr="00D637D9">
        <w:tc>
          <w:tcPr>
            <w:tcW w:w="1559" w:type="dxa"/>
          </w:tcPr>
          <w:p w:rsidR="00661D87" w:rsidRPr="00D637D9" w:rsidRDefault="00661D87" w:rsidP="00A81A77">
            <w:pPr>
              <w:rPr>
                <w:i/>
                <w:sz w:val="20"/>
                <w:szCs w:val="20"/>
              </w:rPr>
            </w:pPr>
            <w:r w:rsidRPr="00D637D9">
              <w:rPr>
                <w:i/>
                <w:sz w:val="20"/>
                <w:szCs w:val="20"/>
              </w:rPr>
              <w:t xml:space="preserve">Pinus </w:t>
            </w:r>
          </w:p>
          <w:p w:rsidR="00661D87" w:rsidRPr="00D637D9" w:rsidRDefault="00661D87" w:rsidP="00A81A77">
            <w:pPr>
              <w:rPr>
                <w:i/>
                <w:sz w:val="20"/>
                <w:szCs w:val="20"/>
              </w:rPr>
            </w:pPr>
            <w:proofErr w:type="spellStart"/>
            <w:r w:rsidRPr="00D637D9">
              <w:rPr>
                <w:i/>
                <w:sz w:val="20"/>
                <w:szCs w:val="20"/>
              </w:rPr>
              <w:t>albicaulis</w:t>
            </w:r>
            <w:proofErr w:type="spellEnd"/>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"(McLane &amp; Aitken 2012)", "manualFormatting": "McLane &amp; Aitken 2012"}, "citationItems": [{"uris": ["http://www.mendeley.com/documents/?uuid=3dc13705-93a2-4da5-9f9b-92b971dbb5b0"], "id": "ITEM-1", "itemData": {"type": "article-journal", "author": [{"given": "Sierra C", "dropping-particle": "", "suffix": "", "family": "McLane", "parse-names": false, "non-dropping-particle": ""}, {"given": "Sally N", "dropping-particle": "", "suffix": "", "family": "Aitken", "parse-names": false, "non-dropping-particle": ""}], "issued": {"date-parts": [["2012", "1"]]}, "abstract": "The ``translocation of species into habitable locations outside of their current ranges, termed assisted migration, has been proposed as a means of saving vulnerable species from extinction as a result of climate change. We explore the use of this controversial technique using a threatened keystone species in western North America, whitebark pine (Pinus albicaulis), as a case study. Species distribution models predict that whitebark pine will be extirpated from most of its current range as temperatures rise over the next 70 years. However, the same models indicate that a large area within northwestern British Columbia, Canada, is climatically suitable for the species under current conditions and will remain so throughout the 21st century. To test the capacity of whitebark pine to establish relative to Climatic and habitat features within its predicted climatic range, we planted seeds from seven populations in eight locations spanning from 600 km southeast to 800 km northwest of the northern boundary of the current species range. During the first three growing seasons, germination occurred in all locations. Nearly three times as many treated (induced maturation and broken dormancy) than untreated seeds germinated, and most treated seeds germinated a year earlier than the untreated seeds. Germination, survival, and growth were primarily influenced by seed mass, site climate conditions related to the duration of snow cover, and provenance temperature. Our experiment provides a preliminary test of models predicting the existence of climatically suitable whitebark pine habitat north of the current species ranges. More broadly, our techniques and results inform the development of scientific guidelines for assisting the migration of other species that are highly threatened by climate change. Applied case studies of this kind are critical for assessing the utility of species distribution models as conservation planning tools.", "ISSN": "1051-0761", "page": "142-153", "volume": "22", "container-title": "Ecological Applications", "title": "Whitebark pine (Pinus albicaulis) assisted migration potential: testing establishment north of the species range", "issue": "1",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McLane &amp; Aitken 2012</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P</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H</w:t>
            </w:r>
          </w:p>
        </w:tc>
        <w:tc>
          <w:tcPr>
            <w:tcW w:w="1530" w:type="dxa"/>
            <w:tcMar>
              <w:top w:w="43" w:type="dxa"/>
              <w:left w:w="29" w:type="dxa"/>
              <w:bottom w:w="43" w:type="dxa"/>
              <w:right w:w="29" w:type="dxa"/>
            </w:tcMar>
          </w:tcPr>
          <w:p w:rsidR="00661D87" w:rsidRPr="00D637D9" w:rsidRDefault="00661D87" w:rsidP="00A81A77">
            <w:r w:rsidRPr="00D637D9">
              <w:rPr>
                <w:sz w:val="20"/>
                <w:szCs w:val="20"/>
              </w:rPr>
              <w:t>0 (</w:t>
            </w:r>
            <w:proofErr w:type="gramStart"/>
            <w:r w:rsidRPr="00D637D9">
              <w:rPr>
                <w:sz w:val="20"/>
                <w:szCs w:val="20"/>
              </w:rPr>
              <w:t>6)</w:t>
            </w:r>
            <w:r w:rsidRPr="00D637D9">
              <w:rPr>
                <w:rFonts w:cs="Arial"/>
                <w:vertAlign w:val="superscript"/>
              </w:rPr>
              <w:t>§</w:t>
            </w:r>
            <w:proofErr w:type="gramEnd"/>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2 (4)</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534 (321, 1027)</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664 (62, 1363)</w:t>
            </w:r>
          </w:p>
        </w:tc>
      </w:tr>
      <w:tr w:rsidR="00661D87" w:rsidRPr="00D637D9">
        <w:tc>
          <w:tcPr>
            <w:tcW w:w="1559" w:type="dxa"/>
          </w:tcPr>
          <w:p w:rsidR="00661D87" w:rsidRPr="00D637D9" w:rsidRDefault="00661D87" w:rsidP="00A81A77">
            <w:pPr>
              <w:rPr>
                <w:i/>
                <w:sz w:val="20"/>
                <w:szCs w:val="20"/>
              </w:rPr>
            </w:pPr>
            <w:proofErr w:type="spellStart"/>
            <w:r w:rsidRPr="00D637D9">
              <w:rPr>
                <w:i/>
                <w:sz w:val="20"/>
                <w:szCs w:val="20"/>
              </w:rPr>
              <w:t>Poa</w:t>
            </w:r>
            <w:proofErr w:type="spellEnd"/>
            <w:r w:rsidRPr="00D637D9">
              <w:rPr>
                <w:i/>
                <w:sz w:val="20"/>
                <w:szCs w:val="20"/>
              </w:rPr>
              <w:t xml:space="preserve"> </w:t>
            </w:r>
          </w:p>
          <w:p w:rsidR="00661D87" w:rsidRPr="00D637D9" w:rsidRDefault="00661D87" w:rsidP="00A81A77">
            <w:pPr>
              <w:rPr>
                <w:i/>
                <w:sz w:val="20"/>
                <w:szCs w:val="20"/>
              </w:rPr>
            </w:pPr>
            <w:proofErr w:type="spellStart"/>
            <w:r w:rsidRPr="00D637D9">
              <w:rPr>
                <w:i/>
                <w:sz w:val="20"/>
                <w:szCs w:val="20"/>
              </w:rPr>
              <w:t>attenuata</w:t>
            </w:r>
            <w:proofErr w:type="spellEnd"/>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"(Klime\u0161 &amp; Dolezal 2010)", "manualFormatting": "Klime\u0161 &amp; Dolezal 2010"}, "citationItems": [{"uris": ["http://www.mendeley.com/documents/?uuid=40893abc-0288-4d49-8bdf-bdc2ec912b18"], "id": "ITEM-1", "itemData": {"title": "An experimental assessment of the upper elevational limit of flowering plants in the western Himalayas", "issued": {"date-parts": [["2010"]]}, "author": [{"given": "Leos", "dropping-particle": "", "suffix": "", "family": "Klime\u0161", "parse-names": false, "non-dropping-particle": ""}, {"given": "Jiri", "dropping-particle": "", "suffix": "", "family": "Dolezal", "parse-names": false, "non-dropping-particle": ""}], "page": "590-596", "volume": "33", "container-title": "Ecography", "type": "article-journal",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Klimeš &amp; Dolezal 2010</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S</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V</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3 (3)</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(1)</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-215 (-215, -215)</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1.5 (1.2, 1.8)</w:t>
            </w:r>
          </w:p>
        </w:tc>
      </w:tr>
      <w:tr w:rsidR="00661D87" w:rsidRPr="00D637D9">
        <w:tc>
          <w:tcPr>
            <w:tcW w:w="1559" w:type="dxa"/>
          </w:tcPr>
          <w:p w:rsidR="00661D87" w:rsidRPr="00D637D9" w:rsidRDefault="00661D87" w:rsidP="00A81A77">
            <w:pPr>
              <w:rPr>
                <w:i/>
                <w:sz w:val="20"/>
                <w:szCs w:val="20"/>
              </w:rPr>
            </w:pPr>
            <w:proofErr w:type="spellStart"/>
            <w:r w:rsidRPr="00D637D9">
              <w:rPr>
                <w:i/>
                <w:sz w:val="20"/>
                <w:szCs w:val="20"/>
              </w:rPr>
              <w:t>Populus</w:t>
            </w:r>
            <w:proofErr w:type="spellEnd"/>
            <w:r w:rsidRPr="00D637D9">
              <w:rPr>
                <w:i/>
                <w:sz w:val="20"/>
                <w:szCs w:val="20"/>
              </w:rPr>
              <w:t xml:space="preserve"> </w:t>
            </w:r>
            <w:proofErr w:type="spellStart"/>
            <w:r w:rsidRPr="00D637D9">
              <w:rPr>
                <w:i/>
                <w:sz w:val="20"/>
                <w:szCs w:val="20"/>
              </w:rPr>
              <w:t>tremuloides</w:t>
            </w:r>
            <w:proofErr w:type="spellEnd"/>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"(Hobbie &amp; Chapin III 1998)", "manualFormatting": "Hobbie &amp; Chapin  1998"}, "citationItems": [{"uris": ["http://www.mendeley.com/documents/?uuid=21c46071-cf71-4981-9163-98eb1a4c6706"], "id": "ITEM-1", "itemData": {"DOI": "10.1046/j.1365-2745.1998.00278.x", "type": "article-journal", "author": [{"given": "Sarah E", "dropping-particle": "", "suffix": "", "family": "Hobbie", "parse-names": false, "non-dropping-particle": ""}, {"given": "F Stuart", "dropping-particle": "", "suffix": "", "family": "Chapin III", "parse-names": false, "non-dropping-particle": ""}], "issued": {"date-parts": [["1998", "6"]]}, "abstract": "1 Five treeline species had low seed germination rates and low survivorship and growth of seedlings when transplanted into Alaskan tundra. Seed germination of all species increased with experimental warming, suggesting that the present treeline may in part result from unsuccessful recruitment under cold conditions. 2 Growth, biomass and survivorship of seedlings of treeline species transplanted into tundra were largely unaffected by experimental warming. However, transplanted seedlings of three species (Betula papyrifera, Picea glauca and Populus tremuloides) grew more when below-ground competition with the extant community was reduced. All three measures of transplant performance were greater in shrub tundra than in the less productive tussock or heath tundra. Establishment of trees in tundra may thus be prevented by low resource availability and competition. 3 Two species (Alnus crispa and Populus balsamifera) had low seed germination and survivorship of germinated seeds; transplants of these species did not respond to the manipulations and lost biomass following transplanting into tundra. Isolated populations of these two species north of the present treeline in arctic Alaska probably became established during mid-Holocene warming rather than in recent times. 4 Of all the species studied here, Picea glauca was the most likely to invade intact upland tundra. Its seeds had the highest germination rates and it was the only species whose seedlings survived subsequently. Furthermore, transplanted seedlings of Picea glauca had relatively high survivorship and positive growth in tundra, especially in treatments that increased air temperature or nutrient availability, two factors likely to increase with climate warming.", "ISSN": "0022-0477", "page": "449-461", "volume": "86", "container-title": "Journal of Ecology", "title": "An experimental test of limits to tree establishment in Arctic tundra", "issue": "3",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Hobbie &amp; Chapin  1998</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B</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H</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 (1)</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(1)</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-6</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426</w:t>
            </w:r>
          </w:p>
        </w:tc>
      </w:tr>
      <w:tr w:rsidR="00661D87" w:rsidRPr="00D637D9">
        <w:tc>
          <w:tcPr>
            <w:tcW w:w="1559" w:type="dxa"/>
            <w:vMerge w:val="restart"/>
          </w:tcPr>
          <w:p w:rsidR="00661D87" w:rsidRPr="00D637D9" w:rsidRDefault="00661D87" w:rsidP="00A81A77">
            <w:pPr>
              <w:rPr>
                <w:i/>
                <w:sz w:val="20"/>
                <w:szCs w:val="20"/>
              </w:rPr>
            </w:pPr>
            <w:r w:rsidRPr="00D637D9">
              <w:rPr>
                <w:i/>
                <w:sz w:val="20"/>
                <w:szCs w:val="20"/>
              </w:rPr>
              <w:t xml:space="preserve">Protea </w:t>
            </w:r>
          </w:p>
          <w:p w:rsidR="00661D87" w:rsidRPr="00D637D9" w:rsidRDefault="00661D87" w:rsidP="00A81A77">
            <w:pPr>
              <w:rPr>
                <w:i/>
                <w:sz w:val="20"/>
                <w:szCs w:val="20"/>
              </w:rPr>
            </w:pPr>
            <w:proofErr w:type="spellStart"/>
            <w:r w:rsidRPr="00D637D9">
              <w:rPr>
                <w:i/>
                <w:sz w:val="20"/>
                <w:szCs w:val="20"/>
              </w:rPr>
              <w:t>aurea</w:t>
            </w:r>
            <w:proofErr w:type="spellEnd"/>
          </w:p>
        </w:tc>
        <w:tc>
          <w:tcPr>
            <w:tcW w:w="1620" w:type="dxa"/>
            <w:vMerge w:val="restart"/>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"(Latimer &lt;i&gt;et al.&lt;/i&gt; 2009)", "manualFormatting": "Latimer et al. 2009"}, "citationItems": [{"uris": ["http://www.mendeley.com/documents/?uuid=01f47df0-ace7-45ff-bae1-7cbb673963b8"], "id": "ITEM-1", "itemData": {"DOI": "10.1007/s00442-009-1275-3", "type": "article-journal", "author": [{"given": "Andrew M", "dropping-particle": "", "suffix": "", "family": "Latimer", "parse-names": false, "non-dropping-particle": ""}, {"given": "J A", "dropping-particle": "", "suffix": "", "family": "Silander Jr", "parse-names": false, "non-dropping-particle": ""}, {"given": "Anthony G", "dropping-particle": "", "suffix": "", "family": "Rebelo", "parse-names": false, "non-dropping-particle": ""}, {"given": "Guy F", "dropping-particle": "", "suffix": "", "family": "Midgley", "parse-names": false, "non-dropping-particle": ""}], "issued": {"date-parts": [["2009", "5"]]}, "abstract": "One of the fundamental dimensions of biodiversity is the rate of species turnover across geographic distance. The Cape Floristic Region of South Africa has exceptionally high geographic species turnover, much of which is associated with groups of closely related species with mostly or completely non-overlapping distributions. A basic unresolved question about biodiversity in this global hotspot is the relative importance of ecological gradients in generating and maintaining high geographic turnover in the region. We used reciprocal transplant experiments to test the extent to which abiotic environmental factors may limit the distributions of a group of closely related species in the genus Protea (Proteaceae), and thus elevate species turnover in this diverse, iconic family. We tested whether these species have a ``home site advantage{''} in demographic rates (germination, growth, mortality), and also parameterized stage-structured demographic models for the species. Two of the three native species were predicted to have a demographic advantage at their home sites. The models also predicted, however, that species could maintain positive population growth rates at sites beyond their current distribution limits. Thus the experiment suggests that abiotic limitation under current environmental conditions does not fully explain the observed distribution limits or resulting biogeographic pattern. One potentially important mechanism is dispersal limitation, which is consistent with estimates based on genetic data and mechanistic dispersal models, though other mechanisms including competition may also play a role.", "ISSN": "0029-8549", "page": "151-162", "volume": "160", "container-title": "Oecologia", "title": "Experimental biogeography: the role of environmental gradients in high geographic diversity in Cape Proteaceae", "PMID": "19194725", "issue": "1",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Latimer et al. 2009</w:t>
            </w:r>
            <w:r w:rsidRPr="00D637D9">
              <w:rPr>
                <w:sz w:val="20"/>
                <w:szCs w:val="20"/>
              </w:rPr>
              <w:fldChar w:fldCharType="end"/>
            </w:r>
          </w:p>
        </w:tc>
        <w:tc>
          <w:tcPr>
            <w:tcW w:w="1440" w:type="dxa"/>
            <w:vMerge w:val="restart"/>
          </w:tcPr>
          <w:p w:rsidR="00661D87" w:rsidRPr="00D637D9" w:rsidRDefault="00661D87" w:rsidP="00A81A77">
            <w:pPr>
              <w:rPr>
                <w:sz w:val="20"/>
                <w:szCs w:val="20"/>
              </w:rPr>
            </w:pPr>
            <w:r w:rsidRPr="00D637D9">
              <w:rPr>
                <w:sz w:val="20"/>
                <w:szCs w:val="20"/>
              </w:rPr>
              <w:t>C</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Both</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 (4)</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1 (1)</w:t>
            </w:r>
          </w:p>
        </w:tc>
        <w:tc>
          <w:tcPr>
            <w:tcW w:w="2160" w:type="dxa"/>
            <w:tcMar>
              <w:top w:w="43" w:type="dxa"/>
              <w:left w:w="29" w:type="dxa"/>
              <w:bottom w:w="43" w:type="dxa"/>
              <w:right w:w="29" w:type="dxa"/>
            </w:tcMar>
          </w:tcPr>
          <w:p w:rsidR="00661D87" w:rsidRPr="00D637D9" w:rsidRDefault="00661D87" w:rsidP="00D708FB">
            <w:pPr>
              <w:rPr>
                <w:sz w:val="20"/>
                <w:szCs w:val="20"/>
              </w:rPr>
            </w:pPr>
            <w:r w:rsidRPr="00D637D9">
              <w:rPr>
                <w:sz w:val="20"/>
                <w:szCs w:val="20"/>
              </w:rPr>
              <w:t>2.7 (-98, 6.1)</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125 (2.1, 372)</w:t>
            </w:r>
          </w:p>
        </w:tc>
      </w:tr>
      <w:tr w:rsidR="00661D87" w:rsidRPr="00D637D9">
        <w:tc>
          <w:tcPr>
            <w:tcW w:w="1559" w:type="dxa"/>
            <w:vMerge/>
          </w:tcPr>
          <w:p w:rsidR="00661D87" w:rsidRPr="00D637D9" w:rsidRDefault="00661D87" w:rsidP="00A81A77">
            <w:pPr>
              <w:rPr>
                <w:i/>
                <w:sz w:val="20"/>
                <w:szCs w:val="20"/>
              </w:rPr>
            </w:pPr>
          </w:p>
        </w:tc>
        <w:tc>
          <w:tcPr>
            <w:tcW w:w="1620" w:type="dxa"/>
            <w:vMerge/>
          </w:tcPr>
          <w:p w:rsidR="00661D87" w:rsidRPr="00D637D9" w:rsidRDefault="00661D87" w:rsidP="00A81A77">
            <w:pPr>
              <w:rPr>
                <w:sz w:val="20"/>
                <w:szCs w:val="20"/>
              </w:rPr>
            </w:pPr>
          </w:p>
        </w:tc>
        <w:tc>
          <w:tcPr>
            <w:tcW w:w="1440" w:type="dxa"/>
            <w:vMerge/>
          </w:tcPr>
          <w:p w:rsidR="00661D87" w:rsidRPr="00D637D9" w:rsidRDefault="00661D87" w:rsidP="00A81A77">
            <w:pPr>
              <w:rPr>
                <w:sz w:val="20"/>
                <w:szCs w:val="20"/>
              </w:rPr>
            </w:pP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H</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 (2)</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1 (1)</w:t>
            </w:r>
          </w:p>
        </w:tc>
        <w:tc>
          <w:tcPr>
            <w:tcW w:w="2160" w:type="dxa"/>
            <w:tcMar>
              <w:top w:w="43" w:type="dxa"/>
              <w:left w:w="29" w:type="dxa"/>
              <w:bottom w:w="43" w:type="dxa"/>
              <w:right w:w="29" w:type="dxa"/>
            </w:tcMar>
          </w:tcPr>
          <w:p w:rsidR="00661D87" w:rsidRPr="00D637D9" w:rsidRDefault="00661D87" w:rsidP="00A81A77">
            <w:pPr>
              <w:rPr>
                <w:sz w:val="20"/>
                <w:szCs w:val="20"/>
                <w:highlight w:val="cyan"/>
              </w:rPr>
            </w:pPr>
            <w:r w:rsidRPr="00D637D9">
              <w:rPr>
                <w:sz w:val="20"/>
                <w:szCs w:val="20"/>
              </w:rPr>
              <w:t>-49 (-98, 0.4)</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263 (151, 375)</w:t>
            </w:r>
          </w:p>
        </w:tc>
      </w:tr>
      <w:tr w:rsidR="00661D87" w:rsidRPr="00D637D9">
        <w:tc>
          <w:tcPr>
            <w:tcW w:w="1559" w:type="dxa"/>
            <w:vMerge/>
          </w:tcPr>
          <w:p w:rsidR="00661D87" w:rsidRPr="00D637D9" w:rsidRDefault="00661D87" w:rsidP="00A81A77">
            <w:pPr>
              <w:rPr>
                <w:i/>
                <w:sz w:val="20"/>
                <w:szCs w:val="20"/>
              </w:rPr>
            </w:pPr>
          </w:p>
        </w:tc>
        <w:tc>
          <w:tcPr>
            <w:tcW w:w="1620" w:type="dxa"/>
            <w:vMerge/>
          </w:tcPr>
          <w:p w:rsidR="00661D87" w:rsidRPr="00D637D9" w:rsidRDefault="00661D87" w:rsidP="00A81A77">
            <w:pPr>
              <w:rPr>
                <w:sz w:val="20"/>
                <w:szCs w:val="20"/>
              </w:rPr>
            </w:pPr>
          </w:p>
        </w:tc>
        <w:tc>
          <w:tcPr>
            <w:tcW w:w="1440" w:type="dxa"/>
            <w:vMerge/>
          </w:tcPr>
          <w:p w:rsidR="00661D87" w:rsidRPr="00D637D9" w:rsidRDefault="00661D87" w:rsidP="00A81A77">
            <w:pPr>
              <w:rPr>
                <w:sz w:val="20"/>
                <w:szCs w:val="20"/>
              </w:rPr>
            </w:pP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V</w:t>
            </w:r>
          </w:p>
        </w:tc>
        <w:tc>
          <w:tcPr>
            <w:tcW w:w="1530" w:type="dxa"/>
            <w:tcMar>
              <w:top w:w="43" w:type="dxa"/>
              <w:left w:w="29" w:type="dxa"/>
              <w:bottom w:w="43" w:type="dxa"/>
              <w:right w:w="29" w:type="dxa"/>
            </w:tcMar>
          </w:tcPr>
          <w:p w:rsidR="00661D87" w:rsidRPr="00D637D9" w:rsidRDefault="00661D87" w:rsidP="00A81A77">
            <w:pPr>
              <w:rPr>
                <w:sz w:val="20"/>
                <w:szCs w:val="20"/>
                <w:highlight w:val="cyan"/>
              </w:rPr>
            </w:pPr>
            <w:r w:rsidRPr="00D637D9">
              <w:rPr>
                <w:sz w:val="20"/>
                <w:szCs w:val="20"/>
              </w:rPr>
              <w:t>0 (2)</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1 (1)</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5.6 (5.0, 6.1)</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3.1 (2.1, 4.1)</w:t>
            </w:r>
          </w:p>
        </w:tc>
      </w:tr>
      <w:tr w:rsidR="00661D87" w:rsidRPr="00D637D9">
        <w:tc>
          <w:tcPr>
            <w:tcW w:w="1559" w:type="dxa"/>
          </w:tcPr>
          <w:p w:rsidR="00661D87" w:rsidRPr="00D637D9" w:rsidRDefault="00661D87" w:rsidP="00A81A77">
            <w:pPr>
              <w:rPr>
                <w:i/>
                <w:sz w:val="20"/>
                <w:szCs w:val="20"/>
              </w:rPr>
            </w:pPr>
            <w:r w:rsidRPr="00D637D9">
              <w:rPr>
                <w:i/>
                <w:sz w:val="20"/>
                <w:szCs w:val="20"/>
              </w:rPr>
              <w:t xml:space="preserve">Protea </w:t>
            </w:r>
          </w:p>
          <w:p w:rsidR="00661D87" w:rsidRPr="00D637D9" w:rsidRDefault="00661D87" w:rsidP="00A81A77">
            <w:pPr>
              <w:rPr>
                <w:i/>
                <w:sz w:val="20"/>
                <w:szCs w:val="20"/>
              </w:rPr>
            </w:pPr>
            <w:proofErr w:type="spellStart"/>
            <w:r w:rsidRPr="00D637D9">
              <w:rPr>
                <w:i/>
                <w:sz w:val="20"/>
                <w:szCs w:val="20"/>
              </w:rPr>
              <w:t>mundii</w:t>
            </w:r>
            <w:proofErr w:type="spellEnd"/>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"(Latimer &lt;i&gt;et al.&lt;/i&gt; 2009)", "manualFormatting": "Latimer et al. 2009"}, "citationItems": [{"uris": ["http://www.mendeley.com/documents/?uuid=01f47df0-ace7-45ff-bae1-7cbb673963b8"], "id": "ITEM-1", "itemData": {"DOI": "10.1007/s00442-009-1275-3", "type": "article-journal", "author": [{"given": "Andrew M", "dropping-particle": "", "suffix": "", "family": "Latimer", "parse-names": false, "non-dropping-particle": ""}, {"given": "J A", "dropping-particle": "", "suffix": "", "family": "Silander Jr", "parse-names": false, "non-dropping-particle": ""}, {"given": "Anthony G", "dropping-particle": "", "suffix": "", "family": "Rebelo", "parse-names": false, "non-dropping-particle": ""}, {"given": "Guy F", "dropping-particle": "", "suffix": "", "family": "Midgley", "parse-names": false, "non-dropping-particle": ""}], "issued": {"date-parts": [["2009", "5"]]}, "abstract": "One of the fundamental dimensions of biodiversity is the rate of species turnover across geographic distance. The Cape Floristic Region of South Africa has exceptionally high geographic species turnover, much of which is associated with groups of closely related species with mostly or completely non-overlapping distributions. A basic unresolved question about biodiversity in this global hotspot is the relative importance of ecological gradients in generating and maintaining high geographic turnover in the region. We used reciprocal transplant experiments to test the extent to which abiotic environmental factors may limit the distributions of a group of closely related species in the genus Protea (Proteaceae), and thus elevate species turnover in this diverse, iconic family. We tested whether these species have a ``home site advantage{''} in demographic rates (germination, growth, mortality), and also parameterized stage-structured demographic models for the species. Two of the three native species were predicted to have a demographic advantage at their home sites. The models also predicted, however, that species could maintain positive population growth rates at sites beyond their current distribution limits. Thus the experiment suggests that abiotic limitation under current environmental conditions does not fully explain the observed distribution limits or resulting biogeographic pattern. One potentially important mechanism is dispersal limitation, which is consistent with estimates based on genetic data and mechanistic dispersal models, though other mechanisms including competition may also play a role.", "ISSN": "0029-8549", "page": "151-162", "volume": "160", "container-title": "Oecologia", "title": "Experimental biogeography: the role of environmental gradients in high geographic diversity in Cape Proteaceae", "PMID": "19194725", "issue": "1",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Latimer et al. 2009</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C</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H</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4 (4)</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(1)</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-56 (-114, -52)</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373 (151, 375)</w:t>
            </w:r>
          </w:p>
        </w:tc>
      </w:tr>
      <w:tr w:rsidR="00661D87" w:rsidRPr="00D637D9">
        <w:tc>
          <w:tcPr>
            <w:tcW w:w="1559" w:type="dxa"/>
            <w:vMerge w:val="restart"/>
          </w:tcPr>
          <w:p w:rsidR="00661D87" w:rsidRPr="00D637D9" w:rsidRDefault="00661D87" w:rsidP="00A81A77">
            <w:pPr>
              <w:rPr>
                <w:i/>
                <w:sz w:val="20"/>
                <w:szCs w:val="20"/>
              </w:rPr>
            </w:pPr>
            <w:r w:rsidRPr="00D637D9">
              <w:rPr>
                <w:i/>
                <w:sz w:val="20"/>
                <w:szCs w:val="20"/>
              </w:rPr>
              <w:t xml:space="preserve">Protea </w:t>
            </w:r>
          </w:p>
          <w:p w:rsidR="00661D87" w:rsidRPr="00D637D9" w:rsidRDefault="00661D87" w:rsidP="00A81A77">
            <w:pPr>
              <w:rPr>
                <w:i/>
                <w:sz w:val="20"/>
                <w:szCs w:val="20"/>
              </w:rPr>
            </w:pPr>
            <w:proofErr w:type="spellStart"/>
            <w:r w:rsidRPr="00D637D9">
              <w:rPr>
                <w:i/>
                <w:sz w:val="20"/>
                <w:szCs w:val="20"/>
              </w:rPr>
              <w:t>punctata</w:t>
            </w:r>
            <w:proofErr w:type="spellEnd"/>
          </w:p>
        </w:tc>
        <w:tc>
          <w:tcPr>
            <w:tcW w:w="1620" w:type="dxa"/>
            <w:vMerge w:val="restart"/>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"(Latimer &lt;i&gt;et al.&lt;/i&gt; 2009)", "manualFormatting": "Latimer et al. 2009"}, "citationItems": [{"uris": ["http://www.mendeley.com/documents/?uuid=01f47df0-ace7-45ff-bae1-7cbb673963b8"], "id": "ITEM-1", "itemData": {"DOI": "10.1007/s00442-009-1275-3", "type": "article-journal", "author": [{"given": "Andrew M", "dropping-particle": "", "suffix": "", "family": "Latimer", "parse-names": false, "non-dropping-particle": ""}, {"given": "J A", "dropping-particle": "", "suffix": "", "family": "Silander Jr", "parse-names": false, "non-dropping-particle": ""}, {"given": "Anthony G", "dropping-particle": "", "suffix": "", "family": "Rebelo", "parse-names": false, "non-dropping-particle": ""}, {"given": "Guy F", "dropping-particle": "", "suffix": "", "family": "Midgley", "parse-names": false, "non-dropping-particle": ""}], "issued": {"date-parts": [["2009", "5"]]}, "abstract": "One of the fundamental dimensions of biodiversity is the rate of species turnover across geographic distance. The Cape Floristic Region of South Africa has exceptionally high geographic species turnover, much of which is associated with groups of closely related species with mostly or completely non-overlapping distributions. A basic unresolved question about biodiversity in this global hotspot is the relative importance of ecological gradients in generating and maintaining high geographic turnover in the region. We used reciprocal transplant experiments to test the extent to which abiotic environmental factors may limit the distributions of a group of closely related species in the genus Protea (Proteaceae), and thus elevate species turnover in this diverse, iconic family. We tested whether these species have a ``home site advantage{''} in demographic rates (germination, growth, mortality), and also parameterized stage-structured demographic models for the species. Two of the three native species were predicted to have a demographic advantage at their home sites. The models also predicted, however, that species could maintain positive population growth rates at sites beyond their current distribution limits. Thus the experiment suggests that abiotic limitation under current environmental conditions does not fully explain the observed distribution limits or resulting biogeographic pattern. One potentially important mechanism is dispersal limitation, which is consistent with estimates based on genetic data and mechanistic dispersal models, though other mechanisms including competition may also play a role.", "ISSN": "0029-8549", "page": "151-162", "volume": "160", "container-title": "Oecologia", "title": "Experimental biogeography: the role of environmental gradients in high geographic diversity in Cape Proteaceae", "PMID": "19194725", "issue": "1",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Latimer et al. 2009</w:t>
            </w:r>
            <w:r w:rsidRPr="00D637D9">
              <w:rPr>
                <w:sz w:val="20"/>
                <w:szCs w:val="20"/>
              </w:rPr>
              <w:fldChar w:fldCharType="end"/>
            </w:r>
          </w:p>
        </w:tc>
        <w:tc>
          <w:tcPr>
            <w:tcW w:w="1440" w:type="dxa"/>
            <w:vMerge w:val="restart"/>
          </w:tcPr>
          <w:p w:rsidR="00661D87" w:rsidRPr="00D637D9" w:rsidRDefault="00661D87" w:rsidP="00A81A77">
            <w:pPr>
              <w:rPr>
                <w:sz w:val="20"/>
                <w:szCs w:val="20"/>
              </w:rPr>
            </w:pPr>
            <w:r w:rsidRPr="00D637D9">
              <w:rPr>
                <w:sz w:val="20"/>
                <w:szCs w:val="20"/>
              </w:rPr>
              <w:t>C</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Both</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2 (3)</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(2)</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-23 (-23, 1.1)</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198 (4.1, 375)</w:t>
            </w:r>
          </w:p>
        </w:tc>
      </w:tr>
      <w:tr w:rsidR="00661D87" w:rsidRPr="00D637D9">
        <w:tc>
          <w:tcPr>
            <w:tcW w:w="1559" w:type="dxa"/>
            <w:vMerge/>
          </w:tcPr>
          <w:p w:rsidR="00661D87" w:rsidRPr="00D637D9" w:rsidRDefault="00661D87" w:rsidP="00A81A77">
            <w:pPr>
              <w:rPr>
                <w:i/>
                <w:sz w:val="20"/>
                <w:szCs w:val="20"/>
              </w:rPr>
            </w:pPr>
          </w:p>
        </w:tc>
        <w:tc>
          <w:tcPr>
            <w:tcW w:w="1620" w:type="dxa"/>
            <w:vMerge/>
          </w:tcPr>
          <w:p w:rsidR="00661D87" w:rsidRPr="00D637D9" w:rsidRDefault="00661D87" w:rsidP="00A81A77">
            <w:pPr>
              <w:rPr>
                <w:sz w:val="20"/>
                <w:szCs w:val="20"/>
              </w:rPr>
            </w:pPr>
          </w:p>
        </w:tc>
        <w:tc>
          <w:tcPr>
            <w:tcW w:w="1440" w:type="dxa"/>
            <w:vMerge/>
          </w:tcPr>
          <w:p w:rsidR="00661D87" w:rsidRPr="00D637D9" w:rsidRDefault="00661D87" w:rsidP="00A81A77">
            <w:pPr>
              <w:rPr>
                <w:sz w:val="20"/>
                <w:szCs w:val="20"/>
              </w:rPr>
            </w:pP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H</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0 (1)</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(2)</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1.1</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263 (151, 375)</w:t>
            </w:r>
          </w:p>
        </w:tc>
      </w:tr>
      <w:tr w:rsidR="00661D87" w:rsidRPr="00D637D9">
        <w:tc>
          <w:tcPr>
            <w:tcW w:w="1559" w:type="dxa"/>
            <w:vMerge/>
          </w:tcPr>
          <w:p w:rsidR="00661D87" w:rsidRPr="00D637D9" w:rsidRDefault="00661D87" w:rsidP="00A81A77">
            <w:pPr>
              <w:rPr>
                <w:i/>
                <w:sz w:val="20"/>
                <w:szCs w:val="20"/>
              </w:rPr>
            </w:pPr>
          </w:p>
        </w:tc>
        <w:tc>
          <w:tcPr>
            <w:tcW w:w="1620" w:type="dxa"/>
            <w:vMerge/>
          </w:tcPr>
          <w:p w:rsidR="00661D87" w:rsidRPr="00D637D9" w:rsidRDefault="00661D87" w:rsidP="00A81A77">
            <w:pPr>
              <w:rPr>
                <w:sz w:val="20"/>
                <w:szCs w:val="20"/>
              </w:rPr>
            </w:pPr>
          </w:p>
        </w:tc>
        <w:tc>
          <w:tcPr>
            <w:tcW w:w="1440" w:type="dxa"/>
            <w:vMerge/>
          </w:tcPr>
          <w:p w:rsidR="00661D87" w:rsidRPr="00D637D9" w:rsidRDefault="00661D87" w:rsidP="00A81A77">
            <w:pPr>
              <w:rPr>
                <w:sz w:val="20"/>
                <w:szCs w:val="20"/>
              </w:rPr>
            </w:pP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V</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2 (2)</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(1)</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-23 (-23, -23)</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4.7 (4.1, 5.2)</w:t>
            </w:r>
          </w:p>
        </w:tc>
      </w:tr>
      <w:tr w:rsidR="00661D87" w:rsidRPr="00D637D9">
        <w:tc>
          <w:tcPr>
            <w:tcW w:w="1559" w:type="dxa"/>
          </w:tcPr>
          <w:p w:rsidR="00661D87" w:rsidRPr="00D637D9" w:rsidRDefault="00661D87" w:rsidP="00A81A77">
            <w:pPr>
              <w:rPr>
                <w:i/>
                <w:sz w:val="20"/>
                <w:szCs w:val="20"/>
              </w:rPr>
            </w:pPr>
            <w:proofErr w:type="spellStart"/>
            <w:r w:rsidRPr="00D637D9">
              <w:rPr>
                <w:i/>
                <w:sz w:val="20"/>
                <w:szCs w:val="20"/>
              </w:rPr>
              <w:t>Saxifraga</w:t>
            </w:r>
            <w:proofErr w:type="spellEnd"/>
            <w:r w:rsidRPr="00D637D9">
              <w:rPr>
                <w:i/>
                <w:sz w:val="20"/>
                <w:szCs w:val="20"/>
              </w:rPr>
              <w:t xml:space="preserve"> </w:t>
            </w:r>
          </w:p>
          <w:p w:rsidR="00661D87" w:rsidRPr="00D637D9" w:rsidRDefault="00661D87" w:rsidP="00A81A77">
            <w:pPr>
              <w:rPr>
                <w:i/>
                <w:sz w:val="20"/>
                <w:szCs w:val="20"/>
              </w:rPr>
            </w:pPr>
            <w:proofErr w:type="spellStart"/>
            <w:r w:rsidRPr="00D637D9">
              <w:rPr>
                <w:i/>
                <w:sz w:val="20"/>
                <w:szCs w:val="20"/>
              </w:rPr>
              <w:t>nanella</w:t>
            </w:r>
            <w:proofErr w:type="spellEnd"/>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"(Klime\u0161 &amp; Dolezal 2010)", "manualFormatting": "Klime\u0161 &amp; Dolezal 2010"}, "citationItems": [{"uris": ["http://www.mendeley.com/documents/?uuid=40893abc-0288-4d49-8bdf-bdc2ec912b18"], "id": "ITEM-1", "itemData": {"title": "An experimental assessment of the upper elevational limit of flowering plants in the western Himalayas", "issued": {"date-parts": [["2010"]]}, "author": [{"given": "Leos", "dropping-particle": "", "suffix": "", "family": "Klime\u0161", "parse-names": false, "non-dropping-particle": ""}, {"given": "Jiri", "dropping-particle": "", "suffix": "", "family": "Dolezal", "parse-names": false, "non-dropping-particle": ""}], "page": "590-596", "volume": "33", "container-title": "Ecography", "type": "article-journal",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Klimeš &amp; Dolezal 2010</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S</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V</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2 (2)</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(2)</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-28 (-29, -28)</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1.1 (0.3, 1.8)</w:t>
            </w:r>
          </w:p>
        </w:tc>
      </w:tr>
      <w:tr w:rsidR="00661D87" w:rsidRPr="00D637D9">
        <w:tc>
          <w:tcPr>
            <w:tcW w:w="1559" w:type="dxa"/>
          </w:tcPr>
          <w:p w:rsidR="00661D87" w:rsidRPr="00D637D9" w:rsidRDefault="00661D87" w:rsidP="00A81A77">
            <w:pPr>
              <w:rPr>
                <w:i/>
                <w:sz w:val="20"/>
                <w:szCs w:val="20"/>
              </w:rPr>
            </w:pPr>
            <w:proofErr w:type="spellStart"/>
            <w:r w:rsidRPr="00D637D9">
              <w:rPr>
                <w:i/>
                <w:sz w:val="20"/>
                <w:szCs w:val="20"/>
              </w:rPr>
              <w:t>Stellaria</w:t>
            </w:r>
            <w:proofErr w:type="spellEnd"/>
            <w:r w:rsidRPr="00D637D9">
              <w:rPr>
                <w:i/>
                <w:sz w:val="20"/>
                <w:szCs w:val="20"/>
              </w:rPr>
              <w:t xml:space="preserve"> </w:t>
            </w:r>
            <w:proofErr w:type="spellStart"/>
            <w:r w:rsidRPr="00D637D9">
              <w:rPr>
                <w:i/>
                <w:sz w:val="20"/>
                <w:szCs w:val="20"/>
              </w:rPr>
              <w:t>depressa</w:t>
            </w:r>
            <w:proofErr w:type="spellEnd"/>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"(Klime\u0161 &amp; Dolezal 2010)", "manualFormatting": "Klime\u0161 &amp; Dolezal 2010"}, "citationItems": [{"uris": ["http://www.mendeley.com/documents/?uuid=40893abc-0288-4d49-8bdf-bdc2ec912b18"], "id": "ITEM-1", "itemData": {"title": "An experimental assessment of the upper elevational limit of flowering plants in the western Himalayas", "issued": {"date-parts": [["2010"]]}, "author": [{"given": "Leos", "dropping-particle": "", "suffix": "", "family": "Klime\u0161", "parse-names": false, "non-dropping-particle": ""}, {"given": "Jiri", "dropping-particle": "", "suffix": "", "family": "Dolezal", "parse-names": false, "non-dropping-particle": ""}], "page": "590-596", "volume": "33", "container-title": "Ecography", "type": "article-journal",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Klimeš &amp; Dolezal 2010</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S</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V</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3 (3)</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(1)</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-77 (-77, -77)</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1.5 (1.2, 1.8)</w:t>
            </w:r>
          </w:p>
        </w:tc>
      </w:tr>
      <w:tr w:rsidR="00661D87" w:rsidRPr="00D637D9">
        <w:tc>
          <w:tcPr>
            <w:tcW w:w="1559" w:type="dxa"/>
            <w:vMerge w:val="restart"/>
          </w:tcPr>
          <w:p w:rsidR="00661D87" w:rsidRPr="00D637D9" w:rsidRDefault="00661D87" w:rsidP="00A81A77">
            <w:pPr>
              <w:rPr>
                <w:i/>
                <w:sz w:val="20"/>
                <w:szCs w:val="20"/>
              </w:rPr>
            </w:pPr>
            <w:proofErr w:type="spellStart"/>
            <w:r w:rsidRPr="00D637D9">
              <w:rPr>
                <w:i/>
                <w:sz w:val="20"/>
                <w:szCs w:val="20"/>
              </w:rPr>
              <w:t>Thaumetopoea</w:t>
            </w:r>
            <w:proofErr w:type="spellEnd"/>
            <w:r w:rsidRPr="00D637D9">
              <w:rPr>
                <w:i/>
                <w:sz w:val="20"/>
                <w:szCs w:val="20"/>
              </w:rPr>
              <w:t xml:space="preserve"> </w:t>
            </w:r>
            <w:proofErr w:type="spellStart"/>
            <w:r w:rsidRPr="00D637D9">
              <w:rPr>
                <w:i/>
                <w:sz w:val="20"/>
                <w:szCs w:val="20"/>
              </w:rPr>
              <w:t>pityocampa</w:t>
            </w:r>
            <w:proofErr w:type="spellEnd"/>
          </w:p>
        </w:tc>
        <w:tc>
          <w:tcPr>
            <w:tcW w:w="1620" w:type="dxa"/>
            <w:vMerge w:val="restart"/>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"(Battisti &lt;i&gt;et al.&lt;/i&gt; 2005)", "manualFormatting": "Battisti et al. 2005"}, "citationItems": [{"uris": ["http://www.mendeley.com/documents/?uuid=1b86beef-ca63-4a80-9433-39c92d4565b9"], "id": "ITEM-1", "itemData": {"DOI": "10.1890/04-1903", "type": "article-journal", "author": [{"given": "Andrea", "dropping-particle": "", "suffix": "", "family": "Battisti", "parse-names": false, "non-dropping-particle": ""}, {"given": "Michael", "dropping-particle": "", "suffix": "", "family": "Stastny", "parse-names": false, "non-dropping-particle": ""}, {"given": "Sigrid", "dropping-particle": "", "suffix": "", "family": "Netherer", "parse-names": false, "non-dropping-particle": ""}, {"given": "Christelle", "dropping-particle": "", "suffix": "", "family": "Robinet", "parse-names": false, "non-dropping-particle": ""}, {"given": "Axel", "dropping-particle": "", "suffix": "", "family": "Schopf", "parse-names": false, "non-dropping-particle": ""}, {"given": "Alain", "dropping-particle": "", "suffix": "", "family": "Roques", "parse-names": false, "non-dropping-particle": ""}, {"given": "Stig", "dropping-particle": "", "suffix": "", "family": "Larsson", "parse-names": false, "non-dropping-particle": ""}], "issued": {"date-parts": [["2005", "12"]]}, "abstract": "Global warming is predicted to cause distributional changes in organisms whose geographic ranges are controlled by temperature. We report a recent latitudinal and altitudinal expansion of the pine processionary moth, Thaumetopoea pityocampa, whose larvae build silk nests and feed on pine foliage in the winter. In north-central France (Paris Basin), its range boundary. has shifted by 87 km northwards between 1972 and 2004; in northern Italy (Alps), an altitudinal shift of 110-230 in upwards occurred between 1975 and 2004. By experimentally linking Winter temperature, feeding activity, and survival of T. pityocampa larvae, we attribute the expansions to increased winter survival due to a warming trend over the past three decades. In the laboratory we determined the minimum nest and night air temperatures required for larval feeding and developed a mechanistic model based on these temperature thresholds. We tested the model in a translocation experiment that employed natural temperature gradients as spatial analogues for global warming. In all transects we transferred colonies of T. pityocampa larvae to sites within zones of historical distribution, recent distribution, and outside the present range. We monitored air and nest temperature, incoming solar radiation, larval phenology, feeding activity, and survival. Early-season temperature effects on phenology were evident with delayed development of colonies in the more extreme (colder) sites. In the coldest months, our model was consistent With the observed patterns of feeding activity: Feeding was, progressively reduced with increasing latitude,or elevation, as predicted by the lower number of hours when the feeding threshold was reached, which negatively affected final survival. Insolation raised nest temperature and increased feeding activity on the south but not the north aspect. Prolonged temperature drops below the feeding thresholds occurred at all-sites, leading to starvation and partial mortality. Nonetheless, even the most extreme sites still allowed some feeding and, consequently, up to 20% colony survival and successful pupation. Given that the present distribution of the oligophagous T. pityocampa is not constrained by the distribution of its actual or potential hosts, and that warmer winters will cause the number of hours of feeding to increase and the probability of the lower lethal temperature to decrease, we expect the trend of improved survival in previously prohibitive environments to co\u2026", "ISSN": "1051-0761", "page": "2084-2096", "volume": "15", "container-title": "Ecological Applications", "title": "Expansion of geographic range in the pine processionary moth caused by increased winter temperatures", "issue": "6",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Battisti et al. 2005</w:t>
            </w:r>
            <w:r w:rsidRPr="00D637D9">
              <w:rPr>
                <w:sz w:val="20"/>
                <w:szCs w:val="20"/>
              </w:rPr>
              <w:fldChar w:fldCharType="end"/>
            </w:r>
          </w:p>
        </w:tc>
        <w:tc>
          <w:tcPr>
            <w:tcW w:w="1440" w:type="dxa"/>
            <w:vMerge w:val="restart"/>
          </w:tcPr>
          <w:p w:rsidR="00661D87" w:rsidRPr="00D637D9" w:rsidRDefault="00661D87" w:rsidP="00A81A77">
            <w:pPr>
              <w:rPr>
                <w:sz w:val="20"/>
                <w:szCs w:val="20"/>
              </w:rPr>
            </w:pPr>
            <w:r w:rsidRPr="00D637D9">
              <w:rPr>
                <w:sz w:val="20"/>
                <w:szCs w:val="20"/>
              </w:rPr>
              <w:t>P, S</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Both</w:t>
            </w:r>
          </w:p>
        </w:tc>
        <w:tc>
          <w:tcPr>
            <w:tcW w:w="1530" w:type="dxa"/>
            <w:tcMar>
              <w:top w:w="43" w:type="dxa"/>
              <w:left w:w="29" w:type="dxa"/>
              <w:bottom w:w="43" w:type="dxa"/>
              <w:right w:w="29" w:type="dxa"/>
            </w:tcMar>
          </w:tcPr>
          <w:p w:rsidR="00661D87" w:rsidRPr="00D637D9" w:rsidRDefault="00661D87" w:rsidP="00A81A77">
            <w:r w:rsidRPr="00D637D9">
              <w:rPr>
                <w:sz w:val="20"/>
                <w:szCs w:val="20"/>
              </w:rPr>
              <w:t>1 (</w:t>
            </w:r>
            <w:proofErr w:type="gramStart"/>
            <w:r w:rsidRPr="00D637D9">
              <w:rPr>
                <w:sz w:val="20"/>
                <w:szCs w:val="20"/>
              </w:rPr>
              <w:t>3)</w:t>
            </w:r>
            <w:r w:rsidRPr="00D637D9">
              <w:rPr>
                <w:rFonts w:cs="Arial"/>
                <w:vertAlign w:val="superscript"/>
              </w:rPr>
              <w:t>§</w:t>
            </w:r>
            <w:proofErr w:type="gramEnd"/>
          </w:p>
        </w:tc>
        <w:tc>
          <w:tcPr>
            <w:tcW w:w="1440" w:type="dxa"/>
            <w:tcMar>
              <w:top w:w="43" w:type="dxa"/>
              <w:left w:w="29" w:type="dxa"/>
              <w:bottom w:w="43" w:type="dxa"/>
              <w:right w:w="29" w:type="dxa"/>
            </w:tcMar>
          </w:tcPr>
          <w:p w:rsidR="00661D87" w:rsidRPr="00D637D9" w:rsidRDefault="00661D87" w:rsidP="00A81A77">
            <w:r w:rsidRPr="00D637D9">
              <w:rPr>
                <w:bCs/>
                <w:sz w:val="20"/>
                <w:szCs w:val="20"/>
              </w:rPr>
              <w:t>4 (</w:t>
            </w:r>
            <w:proofErr w:type="gramStart"/>
            <w:r w:rsidRPr="00D637D9">
              <w:rPr>
                <w:bCs/>
                <w:sz w:val="20"/>
                <w:szCs w:val="20"/>
              </w:rPr>
              <w:t>6)</w:t>
            </w:r>
            <w:r w:rsidRPr="00D637D9">
              <w:rPr>
                <w:rFonts w:cs="Arial"/>
                <w:vertAlign w:val="superscript"/>
              </w:rPr>
              <w:t>§</w:t>
            </w:r>
            <w:proofErr w:type="gramEnd"/>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336 (-27, 360)</w:t>
            </w:r>
          </w:p>
        </w:tc>
        <w:tc>
          <w:tcPr>
            <w:tcW w:w="2520" w:type="dxa"/>
            <w:tcMar>
              <w:top w:w="43" w:type="dxa"/>
              <w:left w:w="29" w:type="dxa"/>
              <w:bottom w:w="43" w:type="dxa"/>
              <w:right w:w="29" w:type="dxa"/>
            </w:tcMar>
          </w:tcPr>
          <w:p w:rsidR="00661D87" w:rsidRPr="00D637D9" w:rsidRDefault="00661D87" w:rsidP="00A81A77">
            <w:pPr>
              <w:rPr>
                <w:sz w:val="20"/>
                <w:szCs w:val="20"/>
                <w:highlight w:val="yellow"/>
              </w:rPr>
            </w:pPr>
            <w:r w:rsidRPr="00D637D9">
              <w:rPr>
                <w:sz w:val="20"/>
                <w:szCs w:val="20"/>
              </w:rPr>
              <w:t>108 (1.3, 696)</w:t>
            </w:r>
          </w:p>
        </w:tc>
      </w:tr>
      <w:tr w:rsidR="00661D87" w:rsidRPr="00D637D9">
        <w:tc>
          <w:tcPr>
            <w:tcW w:w="1559" w:type="dxa"/>
            <w:vMerge/>
          </w:tcPr>
          <w:p w:rsidR="00661D87" w:rsidRPr="00D637D9" w:rsidRDefault="00661D87" w:rsidP="00A81A77">
            <w:pPr>
              <w:rPr>
                <w:i/>
                <w:sz w:val="20"/>
                <w:szCs w:val="20"/>
              </w:rPr>
            </w:pPr>
          </w:p>
        </w:tc>
        <w:tc>
          <w:tcPr>
            <w:tcW w:w="1620" w:type="dxa"/>
            <w:vMerge/>
          </w:tcPr>
          <w:p w:rsidR="00661D87" w:rsidRPr="00D637D9" w:rsidRDefault="00661D87" w:rsidP="00A81A77">
            <w:pPr>
              <w:rPr>
                <w:sz w:val="20"/>
                <w:szCs w:val="20"/>
              </w:rPr>
            </w:pPr>
          </w:p>
        </w:tc>
        <w:tc>
          <w:tcPr>
            <w:tcW w:w="1440" w:type="dxa"/>
            <w:vMerge/>
          </w:tcPr>
          <w:p w:rsidR="00661D87" w:rsidRPr="00D637D9" w:rsidRDefault="00661D87" w:rsidP="00A81A77">
            <w:pPr>
              <w:rPr>
                <w:sz w:val="20"/>
                <w:szCs w:val="20"/>
              </w:rPr>
            </w:pP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H</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0 (2)</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4 (4)</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348 (336, 360)</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58 (21, 108)</w:t>
            </w:r>
          </w:p>
        </w:tc>
      </w:tr>
      <w:tr w:rsidR="00661D87" w:rsidRPr="00D637D9">
        <w:tc>
          <w:tcPr>
            <w:tcW w:w="1559" w:type="dxa"/>
            <w:vMerge/>
          </w:tcPr>
          <w:p w:rsidR="00661D87" w:rsidRPr="00D637D9" w:rsidRDefault="00661D87" w:rsidP="00A81A77">
            <w:pPr>
              <w:rPr>
                <w:i/>
                <w:sz w:val="20"/>
                <w:szCs w:val="20"/>
              </w:rPr>
            </w:pPr>
          </w:p>
        </w:tc>
        <w:tc>
          <w:tcPr>
            <w:tcW w:w="1620" w:type="dxa"/>
            <w:vMerge/>
          </w:tcPr>
          <w:p w:rsidR="00661D87" w:rsidRPr="00D637D9" w:rsidRDefault="00661D87" w:rsidP="00A81A77">
            <w:pPr>
              <w:rPr>
                <w:sz w:val="20"/>
                <w:szCs w:val="20"/>
              </w:rPr>
            </w:pPr>
          </w:p>
        </w:tc>
        <w:tc>
          <w:tcPr>
            <w:tcW w:w="1440" w:type="dxa"/>
            <w:vMerge/>
          </w:tcPr>
          <w:p w:rsidR="00661D87" w:rsidRPr="00D637D9" w:rsidRDefault="00661D87" w:rsidP="00A81A77">
            <w:pPr>
              <w:rPr>
                <w:sz w:val="20"/>
                <w:szCs w:val="20"/>
              </w:rPr>
            </w:pP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V</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1 (</w:t>
            </w:r>
            <w:proofErr w:type="gramStart"/>
            <w:r w:rsidRPr="00D637D9">
              <w:rPr>
                <w:sz w:val="20"/>
                <w:szCs w:val="20"/>
              </w:rPr>
              <w:t>1)</w:t>
            </w:r>
            <w:r w:rsidRPr="00D637D9">
              <w:rPr>
                <w:rFonts w:cs="Arial"/>
                <w:vertAlign w:val="superscript"/>
              </w:rPr>
              <w:t>§</w:t>
            </w:r>
            <w:proofErr w:type="gramEnd"/>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w:t>
            </w:r>
            <w:proofErr w:type="gramStart"/>
            <w:r w:rsidRPr="00D637D9">
              <w:rPr>
                <w:bCs/>
                <w:sz w:val="20"/>
                <w:szCs w:val="20"/>
              </w:rPr>
              <w:t>2)</w:t>
            </w:r>
            <w:r w:rsidRPr="00D637D9">
              <w:rPr>
                <w:rFonts w:cs="Arial"/>
                <w:vertAlign w:val="superscript"/>
              </w:rPr>
              <w:t>§</w:t>
            </w:r>
            <w:proofErr w:type="gramEnd"/>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-27</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2.5 (1.3, 3.8)</w:t>
            </w:r>
          </w:p>
        </w:tc>
      </w:tr>
      <w:tr w:rsidR="00661D87" w:rsidRPr="00D637D9">
        <w:tc>
          <w:tcPr>
            <w:tcW w:w="1559" w:type="dxa"/>
          </w:tcPr>
          <w:p w:rsidR="00661D87" w:rsidRPr="00D637D9" w:rsidRDefault="00661D87" w:rsidP="00A81A77">
            <w:pPr>
              <w:rPr>
                <w:i/>
                <w:sz w:val="20"/>
                <w:szCs w:val="20"/>
              </w:rPr>
            </w:pPr>
            <w:proofErr w:type="spellStart"/>
            <w:r w:rsidRPr="00D637D9">
              <w:rPr>
                <w:i/>
                <w:sz w:val="20"/>
                <w:szCs w:val="20"/>
              </w:rPr>
              <w:t>Vulpia</w:t>
            </w:r>
            <w:proofErr w:type="spellEnd"/>
            <w:r w:rsidRPr="00D637D9">
              <w:rPr>
                <w:i/>
                <w:sz w:val="20"/>
                <w:szCs w:val="20"/>
              </w:rPr>
              <w:t xml:space="preserve"> fasciculata</w:t>
            </w:r>
          </w:p>
        </w:tc>
        <w:tc>
          <w:tcPr>
            <w:tcW w:w="1620" w:type="dxa"/>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"(Norton &lt;i&gt;et al.&lt;/i&gt; 2005)", "manualFormatting": "Norton et al. 2005"}, "citationItems": [{"uris": ["http://www.mendeley.com/documents/?uuid=22a9b0c7-1c31-403a-ae3a-cfa70925068a"], "id": "ITEM-1", "itemData": {"DOI": "10.1007/s00442-005-0102-8", "type": "article-journal", "author": [{"given": "Lisa R", "dropping-particle": "", "suffix": "", "family": "Norton", "parse-names": false, "non-dropping-particle": ""}, {"given": "Les G", "dropping-particle": "", "suffix": "", "family": "Firbank", "parse-names": false, "non-dropping-particle": ""}, {"given": "Andrew", "dropping-particle": "", "suffix": "", "family": "Scott", "parse-names": false, "non-dropping-particle": ""}, {"given": "Andrew R", "dropping-particle": "", "suffix": "", "family": "Watkinson", "parse-names": false, "non-dropping-particle": ""}], "issued": {"date-parts": [["2005", "7"]]}, "abstract": "Understanding the factors that influence plant distributions is a considerable challenge for ecologists in the face of environmental change. Here, we quantify spatial and temporal variation in the finite rate of population increase of the annual grass Vulpia fasciculata. Specifically, we test the hypothesis that the northern range boundary is associated with finite rates of population increase of less than one. Seeds of three ecotypes of the annual grass V. fasciculata were introduced annually across a range of sites in Great Britain both within (11) and to the north (4) of its current range boundary in each of 4 years. Populations failed to establish at 17% of target sites due to disturbance. At the remaining target sites, the finite rate of population increase, lambda, varied from 0.06 to 33.3 with a geometric mean of 1.88. Of the total variance in the rate of population growth, site and year effects accounted independently for 40% of the variation and in interaction for 50%; ecotype accounted for less than 5% of the variation. Variation in the weather between sites and years had little impact on plant performance, and there was no indication that the rate of population growth was lower to the north of the current range boundary. We conclude that current climatic conditions on the coast of Great Britain are not limiting the distribution of V. fasciculata and that seeds from across its current range have roughly equivalent colonising potential.", "ISSN": "0029-8549", "page": "407-415", "volume": "144", "container-title": "Oecologia", "title": "Characterising spatial and temporal variation in the finite rate of population increase across the northern range boundary of the annual grass Vulpia fasciculata", "issue": "3",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Norton et al. 2005</w:t>
            </w:r>
            <w:r w:rsidRPr="00D637D9">
              <w:rPr>
                <w:sz w:val="20"/>
                <w:szCs w:val="20"/>
              </w:rPr>
              <w:fldChar w:fldCharType="end"/>
            </w:r>
          </w:p>
        </w:tc>
        <w:tc>
          <w:tcPr>
            <w:tcW w:w="1440" w:type="dxa"/>
          </w:tcPr>
          <w:p w:rsidR="00661D87" w:rsidRPr="00D637D9" w:rsidRDefault="00661D87" w:rsidP="00A81A77">
            <w:pPr>
              <w:rPr>
                <w:sz w:val="20"/>
                <w:szCs w:val="20"/>
              </w:rPr>
            </w:pPr>
            <w:r w:rsidRPr="00D637D9">
              <w:rPr>
                <w:sz w:val="20"/>
                <w:szCs w:val="20"/>
              </w:rPr>
              <w:t>P</w:t>
            </w:r>
          </w:p>
        </w:tc>
        <w:tc>
          <w:tcPr>
            <w:tcW w:w="95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H</w:t>
            </w:r>
          </w:p>
        </w:tc>
        <w:tc>
          <w:tcPr>
            <w:tcW w:w="153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4 (6)</w:t>
            </w:r>
          </w:p>
        </w:tc>
        <w:tc>
          <w:tcPr>
            <w:tcW w:w="1440" w:type="dxa"/>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(9)</w:t>
            </w:r>
          </w:p>
        </w:tc>
        <w:tc>
          <w:tcPr>
            <w:tcW w:w="216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-29 (-196, 30)</w:t>
            </w:r>
          </w:p>
        </w:tc>
        <w:tc>
          <w:tcPr>
            <w:tcW w:w="2520" w:type="dxa"/>
            <w:tcMar>
              <w:top w:w="43" w:type="dxa"/>
              <w:left w:w="29" w:type="dxa"/>
              <w:bottom w:w="43" w:type="dxa"/>
              <w:right w:w="29" w:type="dxa"/>
            </w:tcMar>
          </w:tcPr>
          <w:p w:rsidR="00661D87" w:rsidRPr="00D637D9" w:rsidRDefault="00661D87" w:rsidP="00A81A77">
            <w:pPr>
              <w:rPr>
                <w:sz w:val="20"/>
                <w:szCs w:val="20"/>
              </w:rPr>
            </w:pPr>
            <w:r w:rsidRPr="00D637D9">
              <w:rPr>
                <w:sz w:val="20"/>
                <w:szCs w:val="20"/>
              </w:rPr>
              <w:t>420 (21, 735)</w:t>
            </w:r>
          </w:p>
        </w:tc>
      </w:tr>
      <w:tr w:rsidR="00661D87" w:rsidRPr="00D637D9">
        <w:tc>
          <w:tcPr>
            <w:tcW w:w="1559" w:type="dxa"/>
            <w:tcBorders>
              <w:bottom w:val="single" w:sz="4" w:space="0" w:color="auto"/>
            </w:tcBorders>
          </w:tcPr>
          <w:p w:rsidR="00661D87" w:rsidRPr="00D637D9" w:rsidRDefault="00661D87" w:rsidP="00A81A77">
            <w:pPr>
              <w:rPr>
                <w:i/>
                <w:sz w:val="20"/>
                <w:szCs w:val="20"/>
              </w:rPr>
            </w:pPr>
            <w:proofErr w:type="spellStart"/>
            <w:r w:rsidRPr="00D637D9">
              <w:rPr>
                <w:i/>
                <w:sz w:val="20"/>
                <w:szCs w:val="20"/>
              </w:rPr>
              <w:t>Waldheimia</w:t>
            </w:r>
            <w:proofErr w:type="spellEnd"/>
            <w:r w:rsidRPr="00D637D9">
              <w:rPr>
                <w:i/>
                <w:sz w:val="20"/>
                <w:szCs w:val="20"/>
              </w:rPr>
              <w:t xml:space="preserve"> </w:t>
            </w:r>
            <w:proofErr w:type="spellStart"/>
            <w:r w:rsidRPr="00D637D9">
              <w:rPr>
                <w:i/>
                <w:sz w:val="20"/>
                <w:szCs w:val="20"/>
              </w:rPr>
              <w:t>tridactylites</w:t>
            </w:r>
            <w:proofErr w:type="spellEnd"/>
          </w:p>
        </w:tc>
        <w:tc>
          <w:tcPr>
            <w:tcW w:w="1620" w:type="dxa"/>
            <w:tcBorders>
              <w:bottom w:val="single" w:sz="4" w:space="0" w:color="auto"/>
            </w:tcBorders>
          </w:tcPr>
          <w:p w:rsidR="00661D87" w:rsidRPr="00D637D9" w:rsidRDefault="00B06571" w:rsidP="00A81A77">
            <w:pPr>
              <w:rPr>
                <w:sz w:val="20"/>
                <w:szCs w:val="20"/>
              </w:rPr>
            </w:pPr>
            <w:r w:rsidRPr="00D637D9">
              <w:rPr>
                <w:sz w:val="20"/>
                <w:szCs w:val="20"/>
              </w:rPr>
              <w:fldChar w:fldCharType="begin"/>
            </w:r>
            <w:r w:rsidR="00661D87" w:rsidRPr="00D637D9">
              <w:rPr>
                <w:sz w:val="20"/>
                <w:szCs w:val="20"/>
              </w:rPr>
              <w:instrText>ADDIN CSL_CITATION {"mendeley": {"previouslyFormattedCitation": "(Klime\u0161 &amp; Dolezal 2010)", "manualFormatting": "Klime\u0161 &amp; Dolezal 2010"}, "citationItems": [{"uris": ["http://www.mendeley.com/documents/?uuid=40893abc-0288-4d49-8bdf-bdc2ec912b18"], "id": "ITEM-1", "itemData": {"title": "An experimental assessment of the upper elevational limit of flowering plants in the western Himalayas", "issued": {"date-parts": [["2010"]]}, "author": [{"given": "Leos", "dropping-particle": "", "suffix": "", "family": "Klime\u0161", "parse-names": false, "non-dropping-particle": ""}, {"given": "Jiri", "dropping-particle": "", "suffix": "", "family": "Dolezal", "parse-names": false, "non-dropping-particle": ""}], "page": "590-596", "volume": "33", "container-title": "Ecography", "type": "article-journal", "id": "ITEM-1"}}], "properties": {"noteIndex": 0}, "schema": "https://github.com/citation-style-language/schema/raw/master/csl-citation.json"}</w:instrText>
            </w:r>
            <w:r w:rsidRPr="00D637D9">
              <w:rPr>
                <w:sz w:val="20"/>
                <w:szCs w:val="20"/>
              </w:rPr>
              <w:fldChar w:fldCharType="separate"/>
            </w:r>
            <w:r w:rsidR="00661D87" w:rsidRPr="00D637D9">
              <w:rPr>
                <w:noProof/>
                <w:sz w:val="20"/>
                <w:szCs w:val="20"/>
              </w:rPr>
              <w:t>Klimeš &amp; Dolezal 2010</w:t>
            </w:r>
            <w:r w:rsidRPr="00D637D9">
              <w:rPr>
                <w:sz w:val="20"/>
                <w:szCs w:val="20"/>
              </w:rPr>
              <w:fldChar w:fldCharType="end"/>
            </w:r>
          </w:p>
        </w:tc>
        <w:tc>
          <w:tcPr>
            <w:tcW w:w="1440" w:type="dxa"/>
            <w:tcBorders>
              <w:bottom w:val="single" w:sz="4" w:space="0" w:color="auto"/>
            </w:tcBorders>
          </w:tcPr>
          <w:p w:rsidR="00661D87" w:rsidRPr="00D637D9" w:rsidRDefault="00661D87" w:rsidP="00A81A77">
            <w:pPr>
              <w:rPr>
                <w:sz w:val="20"/>
                <w:szCs w:val="20"/>
              </w:rPr>
            </w:pPr>
            <w:r w:rsidRPr="00D637D9">
              <w:rPr>
                <w:sz w:val="20"/>
                <w:szCs w:val="20"/>
              </w:rPr>
              <w:t>S</w:t>
            </w:r>
          </w:p>
        </w:tc>
        <w:tc>
          <w:tcPr>
            <w:tcW w:w="950" w:type="dxa"/>
            <w:tcBorders>
              <w:bottom w:val="single" w:sz="4" w:space="0" w:color="auto"/>
            </w:tcBorders>
            <w:tcMar>
              <w:top w:w="43" w:type="dxa"/>
              <w:left w:w="29" w:type="dxa"/>
              <w:bottom w:w="43" w:type="dxa"/>
              <w:right w:w="29" w:type="dxa"/>
            </w:tcMar>
          </w:tcPr>
          <w:p w:rsidR="00661D87" w:rsidRPr="00D637D9" w:rsidRDefault="00661D87" w:rsidP="00A81A77">
            <w:pPr>
              <w:rPr>
                <w:sz w:val="20"/>
                <w:szCs w:val="20"/>
              </w:rPr>
            </w:pPr>
            <w:r w:rsidRPr="00D637D9">
              <w:rPr>
                <w:sz w:val="20"/>
                <w:szCs w:val="20"/>
              </w:rPr>
              <w:t>V</w:t>
            </w:r>
          </w:p>
        </w:tc>
        <w:tc>
          <w:tcPr>
            <w:tcW w:w="1530" w:type="dxa"/>
            <w:tcBorders>
              <w:bottom w:val="single" w:sz="4" w:space="0" w:color="auto"/>
            </w:tcBorders>
            <w:tcMar>
              <w:top w:w="43" w:type="dxa"/>
              <w:left w:w="29" w:type="dxa"/>
              <w:bottom w:w="43" w:type="dxa"/>
              <w:right w:w="29" w:type="dxa"/>
            </w:tcMar>
          </w:tcPr>
          <w:p w:rsidR="00661D87" w:rsidRPr="00D637D9" w:rsidRDefault="00661D87" w:rsidP="00A81A77">
            <w:pPr>
              <w:rPr>
                <w:sz w:val="20"/>
                <w:szCs w:val="20"/>
              </w:rPr>
            </w:pPr>
            <w:r w:rsidRPr="00D637D9">
              <w:rPr>
                <w:sz w:val="20"/>
                <w:szCs w:val="20"/>
              </w:rPr>
              <w:t>1 (1)</w:t>
            </w:r>
          </w:p>
        </w:tc>
        <w:tc>
          <w:tcPr>
            <w:tcW w:w="1440" w:type="dxa"/>
            <w:tcBorders>
              <w:bottom w:val="single" w:sz="4" w:space="0" w:color="auto"/>
            </w:tcBorders>
            <w:tcMar>
              <w:top w:w="43" w:type="dxa"/>
              <w:left w:w="29" w:type="dxa"/>
              <w:bottom w:w="43" w:type="dxa"/>
              <w:right w:w="29" w:type="dxa"/>
            </w:tcMar>
          </w:tcPr>
          <w:p w:rsidR="00661D87" w:rsidRPr="00D637D9" w:rsidRDefault="00661D87" w:rsidP="00A81A77">
            <w:pPr>
              <w:rPr>
                <w:bCs/>
                <w:sz w:val="20"/>
                <w:szCs w:val="20"/>
              </w:rPr>
            </w:pPr>
            <w:r w:rsidRPr="00D637D9">
              <w:rPr>
                <w:bCs/>
                <w:sz w:val="20"/>
                <w:szCs w:val="20"/>
              </w:rPr>
              <w:t>0 (3)</w:t>
            </w:r>
          </w:p>
        </w:tc>
        <w:tc>
          <w:tcPr>
            <w:tcW w:w="2160" w:type="dxa"/>
            <w:tcBorders>
              <w:bottom w:val="single" w:sz="4" w:space="0" w:color="auto"/>
            </w:tcBorders>
            <w:tcMar>
              <w:top w:w="43" w:type="dxa"/>
              <w:left w:w="29" w:type="dxa"/>
              <w:bottom w:w="43" w:type="dxa"/>
              <w:right w:w="29" w:type="dxa"/>
            </w:tcMar>
          </w:tcPr>
          <w:p w:rsidR="00661D87" w:rsidRPr="00D637D9" w:rsidRDefault="00661D87" w:rsidP="00A81A77">
            <w:pPr>
              <w:rPr>
                <w:sz w:val="20"/>
                <w:szCs w:val="20"/>
              </w:rPr>
            </w:pPr>
            <w:r w:rsidRPr="00D637D9">
              <w:rPr>
                <w:sz w:val="20"/>
                <w:szCs w:val="20"/>
              </w:rPr>
              <w:t>-145</w:t>
            </w:r>
          </w:p>
        </w:tc>
        <w:tc>
          <w:tcPr>
            <w:tcW w:w="2520" w:type="dxa"/>
            <w:tcBorders>
              <w:bottom w:val="single" w:sz="4" w:space="0" w:color="auto"/>
            </w:tcBorders>
            <w:tcMar>
              <w:top w:w="43" w:type="dxa"/>
              <w:left w:w="29" w:type="dxa"/>
              <w:bottom w:w="43" w:type="dxa"/>
              <w:right w:w="29" w:type="dxa"/>
            </w:tcMar>
          </w:tcPr>
          <w:p w:rsidR="00661D87" w:rsidRPr="00D637D9" w:rsidRDefault="00661D87" w:rsidP="00A81A77">
            <w:pPr>
              <w:rPr>
                <w:sz w:val="20"/>
                <w:szCs w:val="20"/>
              </w:rPr>
            </w:pPr>
            <w:r w:rsidRPr="00D637D9">
              <w:rPr>
                <w:sz w:val="20"/>
                <w:szCs w:val="20"/>
              </w:rPr>
              <w:t>0.6 (0.4, 1.8)</w:t>
            </w:r>
          </w:p>
        </w:tc>
      </w:tr>
    </w:tbl>
    <w:p w:rsidR="0030638A" w:rsidRPr="00D637D9" w:rsidRDefault="0030638A" w:rsidP="0030638A"/>
    <w:p w:rsidR="00661D87" w:rsidRPr="00D637D9" w:rsidRDefault="00661D87" w:rsidP="00661D87">
      <w:r w:rsidRPr="00D637D9">
        <w:lastRenderedPageBreak/>
        <w:t xml:space="preserve">* Determined from C = collection records and/or </w:t>
      </w:r>
      <w:proofErr w:type="gramStart"/>
      <w:r w:rsidRPr="00D637D9">
        <w:t>flora ;</w:t>
      </w:r>
      <w:proofErr w:type="gramEnd"/>
      <w:r w:rsidRPr="00D637D9">
        <w:t xml:space="preserve"> S = author surveys and/or observations; P = published studies; B = biome shift/major change in plant community</w:t>
      </w:r>
    </w:p>
    <w:p w:rsidR="00661D87" w:rsidRPr="00D637D9" w:rsidRDefault="00661D87" w:rsidP="00661D87">
      <w:r w:rsidRPr="00D637D9">
        <w:t>† V= elevational; H = horizontal; for species transplanted over both types of limits, spatial characterizations of transplant sites are given for combined analyses (Both), as well as elevational and horizontal limits separately</w:t>
      </w:r>
    </w:p>
    <w:p w:rsidR="00661D87" w:rsidRPr="00D637D9" w:rsidRDefault="00661D87" w:rsidP="00661D87">
      <w:r w:rsidRPr="00D637D9">
        <w:t xml:space="preserve">‡ Negative values represent distances to MCP of over-the-edge sites that fall inside MCP. </w:t>
      </w:r>
    </w:p>
    <w:p w:rsidR="00661D87" w:rsidRPr="00D637D9" w:rsidRDefault="00661D87" w:rsidP="00661D87">
      <w:r w:rsidRPr="00D637D9">
        <w:t>§ Sites of the same type (in or out) occurring in the same grid cell in the climate layers were randomly thinned to one site per cell before analyses. Sites of different types occurring in the same grid cell were both excluded from analyses. Data in this table reflects transplant site information generated after removing these cell duplicate.</w:t>
      </w:r>
    </w:p>
    <w:p w:rsidR="004F3F33" w:rsidRPr="00D637D9" w:rsidRDefault="004F3F33"/>
    <w:sectPr w:rsidR="004F3F33" w:rsidRPr="00D637D9" w:rsidSect="00661D87">
      <w:pgSz w:w="15842" w:h="12242" w:orient="landscape"/>
      <w:pgMar w:top="1418" w:right="1440" w:bottom="1418"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1E46"/>
    <w:multiLevelType w:val="hybridMultilevel"/>
    <w:tmpl w:val="A83A4A76"/>
    <w:lvl w:ilvl="0" w:tplc="0BC87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A01F8"/>
    <w:multiLevelType w:val="hybridMultilevel"/>
    <w:tmpl w:val="83B2C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0E5C64"/>
    <w:multiLevelType w:val="hybridMultilevel"/>
    <w:tmpl w:val="34A4BF34"/>
    <w:lvl w:ilvl="0" w:tplc="73C48F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F3A69"/>
    <w:multiLevelType w:val="hybridMultilevel"/>
    <w:tmpl w:val="0ADC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C5A1B"/>
    <w:multiLevelType w:val="hybridMultilevel"/>
    <w:tmpl w:val="2318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1597E"/>
    <w:multiLevelType w:val="hybridMultilevel"/>
    <w:tmpl w:val="6AB8A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17D2F"/>
    <w:multiLevelType w:val="hybridMultilevel"/>
    <w:tmpl w:val="96500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80F4E"/>
    <w:multiLevelType w:val="hybridMultilevel"/>
    <w:tmpl w:val="FEB29BA8"/>
    <w:lvl w:ilvl="0" w:tplc="2A3242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36AD8"/>
    <w:multiLevelType w:val="hybridMultilevel"/>
    <w:tmpl w:val="5258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3"/>
  </w:num>
  <w:num w:numId="6">
    <w:abstractNumId w:val="4"/>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64"/>
    <w:rsid w:val="00072838"/>
    <w:rsid w:val="001834EF"/>
    <w:rsid w:val="0026705B"/>
    <w:rsid w:val="0030638A"/>
    <w:rsid w:val="003E12F8"/>
    <w:rsid w:val="00432AF3"/>
    <w:rsid w:val="004F3F33"/>
    <w:rsid w:val="00600A55"/>
    <w:rsid w:val="00627B51"/>
    <w:rsid w:val="00661D87"/>
    <w:rsid w:val="00742E5C"/>
    <w:rsid w:val="008072E5"/>
    <w:rsid w:val="00822674"/>
    <w:rsid w:val="008920D2"/>
    <w:rsid w:val="009A2E98"/>
    <w:rsid w:val="00A10F64"/>
    <w:rsid w:val="00B06571"/>
    <w:rsid w:val="00D637D9"/>
    <w:rsid w:val="00DF30D7"/>
    <w:rsid w:val="00FC75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941D9-948A-4A27-8F95-0D28DB18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0638A"/>
  </w:style>
  <w:style w:type="character" w:customStyle="1" w:styleId="CommentTextChar">
    <w:name w:val="Comment Text Char"/>
    <w:basedOn w:val="DefaultParagraphFont"/>
    <w:link w:val="CommentText"/>
    <w:uiPriority w:val="99"/>
    <w:rsid w:val="0030638A"/>
  </w:style>
  <w:style w:type="paragraph" w:styleId="BalloonText">
    <w:name w:val="Balloon Text"/>
    <w:basedOn w:val="Normal"/>
    <w:link w:val="BalloonTextChar"/>
    <w:uiPriority w:val="99"/>
    <w:semiHidden/>
    <w:unhideWhenUsed/>
    <w:rsid w:val="0030638A"/>
    <w:rPr>
      <w:rFonts w:ascii="Lucida Grande" w:hAnsi="Lucida Grande"/>
      <w:sz w:val="18"/>
      <w:szCs w:val="18"/>
    </w:rPr>
  </w:style>
  <w:style w:type="character" w:customStyle="1" w:styleId="BalloonTextChar">
    <w:name w:val="Balloon Text Char"/>
    <w:basedOn w:val="DefaultParagraphFont"/>
    <w:link w:val="BalloonText"/>
    <w:uiPriority w:val="99"/>
    <w:semiHidden/>
    <w:rsid w:val="0030638A"/>
    <w:rPr>
      <w:rFonts w:ascii="Lucida Grande" w:hAnsi="Lucida Grande"/>
      <w:sz w:val="18"/>
      <w:szCs w:val="18"/>
    </w:rPr>
  </w:style>
  <w:style w:type="paragraph" w:styleId="Header">
    <w:name w:val="header"/>
    <w:basedOn w:val="Normal"/>
    <w:link w:val="HeaderChar"/>
    <w:rsid w:val="0030638A"/>
    <w:pPr>
      <w:tabs>
        <w:tab w:val="center" w:pos="4320"/>
        <w:tab w:val="right" w:pos="8640"/>
      </w:tabs>
    </w:pPr>
  </w:style>
  <w:style w:type="character" w:customStyle="1" w:styleId="HeaderChar">
    <w:name w:val="Header Char"/>
    <w:basedOn w:val="DefaultParagraphFont"/>
    <w:link w:val="Header"/>
    <w:rsid w:val="0030638A"/>
  </w:style>
  <w:style w:type="paragraph" w:styleId="Footer">
    <w:name w:val="footer"/>
    <w:basedOn w:val="Normal"/>
    <w:link w:val="FooterChar"/>
    <w:rsid w:val="0030638A"/>
    <w:pPr>
      <w:tabs>
        <w:tab w:val="center" w:pos="4320"/>
        <w:tab w:val="right" w:pos="8640"/>
      </w:tabs>
    </w:pPr>
  </w:style>
  <w:style w:type="character" w:customStyle="1" w:styleId="FooterChar">
    <w:name w:val="Footer Char"/>
    <w:basedOn w:val="DefaultParagraphFont"/>
    <w:link w:val="Footer"/>
    <w:rsid w:val="0030638A"/>
  </w:style>
  <w:style w:type="paragraph" w:styleId="CommentSubject">
    <w:name w:val="annotation subject"/>
    <w:basedOn w:val="CommentText"/>
    <w:next w:val="CommentText"/>
    <w:link w:val="CommentSubjectChar"/>
    <w:uiPriority w:val="99"/>
    <w:unhideWhenUsed/>
    <w:rsid w:val="0030638A"/>
    <w:rPr>
      <w:b/>
      <w:bCs/>
      <w:sz w:val="20"/>
      <w:szCs w:val="20"/>
    </w:rPr>
  </w:style>
  <w:style w:type="character" w:customStyle="1" w:styleId="CommentSubjectChar">
    <w:name w:val="Comment Subject Char"/>
    <w:basedOn w:val="CommentTextChar"/>
    <w:link w:val="CommentSubject"/>
    <w:uiPriority w:val="99"/>
    <w:rsid w:val="0030638A"/>
    <w:rPr>
      <w:b/>
      <w:bCs/>
      <w:sz w:val="20"/>
      <w:szCs w:val="20"/>
    </w:rPr>
  </w:style>
  <w:style w:type="paragraph" w:styleId="ListParagraph">
    <w:name w:val="List Paragraph"/>
    <w:basedOn w:val="Normal"/>
    <w:uiPriority w:val="34"/>
    <w:qFormat/>
    <w:rsid w:val="0030638A"/>
    <w:pPr>
      <w:ind w:left="720"/>
      <w:contextualSpacing/>
    </w:pPr>
  </w:style>
  <w:style w:type="character" w:styleId="Emphasis">
    <w:name w:val="Emphasis"/>
    <w:basedOn w:val="DefaultParagraphFont"/>
    <w:uiPriority w:val="20"/>
    <w:qFormat/>
    <w:rsid w:val="0030638A"/>
    <w:rPr>
      <w:i/>
      <w:iCs/>
    </w:rPr>
  </w:style>
  <w:style w:type="character" w:styleId="Strong">
    <w:name w:val="Strong"/>
    <w:basedOn w:val="DefaultParagraphFont"/>
    <w:uiPriority w:val="22"/>
    <w:qFormat/>
    <w:rsid w:val="0030638A"/>
    <w:rPr>
      <w:b/>
      <w:bCs/>
    </w:rPr>
  </w:style>
  <w:style w:type="character" w:styleId="Hyperlink">
    <w:name w:val="Hyperlink"/>
    <w:basedOn w:val="DefaultParagraphFont"/>
    <w:rsid w:val="0030638A"/>
    <w:rPr>
      <w:color w:val="0000FF" w:themeColor="hyperlink"/>
      <w:u w:val="single"/>
    </w:rPr>
  </w:style>
  <w:style w:type="character" w:styleId="FollowedHyperlink">
    <w:name w:val="FollowedHyperlink"/>
    <w:basedOn w:val="DefaultParagraphFont"/>
    <w:rsid w:val="0030638A"/>
    <w:rPr>
      <w:color w:val="800080" w:themeColor="followedHyperlink"/>
      <w:u w:val="single"/>
    </w:rPr>
  </w:style>
  <w:style w:type="table" w:styleId="TableGrid">
    <w:name w:val="Table Grid"/>
    <w:basedOn w:val="TableNormal"/>
    <w:uiPriority w:val="59"/>
    <w:rsid w:val="003063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30638A"/>
    <w:pPr>
      <w:spacing w:beforeLines="1" w:afterLines="1"/>
    </w:pPr>
    <w:rPr>
      <w:rFonts w:ascii="Times" w:eastAsiaTheme="minorEastAsia" w:hAnsi="Times" w:cs="Times New Roman"/>
      <w:sz w:val="20"/>
      <w:szCs w:val="20"/>
    </w:rPr>
  </w:style>
  <w:style w:type="character" w:styleId="PageNumber">
    <w:name w:val="page number"/>
    <w:basedOn w:val="DefaultParagraphFont"/>
    <w:rsid w:val="0030638A"/>
  </w:style>
  <w:style w:type="character" w:styleId="LineNumber">
    <w:name w:val="line number"/>
    <w:basedOn w:val="DefaultParagraphFont"/>
    <w:rsid w:val="00306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3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14176</Words>
  <Characters>80805</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MSVU</Company>
  <LinksUpToDate>false</LinksUpToDate>
  <CharactersWithSpaces>94792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cp:lastModifiedBy>Ivan</cp:lastModifiedBy>
  <cp:revision>2</cp:revision>
  <dcterms:created xsi:type="dcterms:W3CDTF">2019-01-20T05:39:00Z</dcterms:created>
  <dcterms:modified xsi:type="dcterms:W3CDTF">2019-01-20T05:39:00Z</dcterms:modified>
</cp:coreProperties>
</file>