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9" w:rsidRPr="00871FD9" w:rsidRDefault="00871FD9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  <w:r w:rsidRPr="00871FD9">
        <w:rPr>
          <w:rFonts w:ascii="Times New Roman" w:hAnsi="Times New Roman" w:cs="Times New Roman"/>
          <w:b/>
          <w:i/>
          <w:lang w:val="en-US"/>
        </w:rPr>
        <w:t>Conservation Biology</w:t>
      </w:r>
    </w:p>
    <w:p w:rsidR="00871FD9" w:rsidRDefault="00871FD9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lang w:val="en-US"/>
        </w:rPr>
      </w:pPr>
    </w:p>
    <w:p w:rsidR="00871FD9" w:rsidRPr="00A67A21" w:rsidRDefault="00871FD9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lang w:val="en-US"/>
        </w:rPr>
      </w:pPr>
      <w:r w:rsidRPr="00A67A21">
        <w:rPr>
          <w:rFonts w:ascii="Times New Roman" w:hAnsi="Times New Roman" w:cs="Times New Roman"/>
          <w:b/>
          <w:lang w:val="en-US"/>
        </w:rPr>
        <w:t>Evaluating complementary networks of restoration plantings for landscape-scale occurrence of temporally dynamic species</w:t>
      </w:r>
    </w:p>
    <w:p w:rsidR="00871FD9" w:rsidRDefault="00871FD9" w:rsidP="00871FD9">
      <w:p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</w:p>
    <w:p w:rsidR="00871FD9" w:rsidRDefault="00871FD9" w:rsidP="00871FD9">
      <w:p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  <w:r w:rsidRPr="00A67A21">
        <w:rPr>
          <w:rFonts w:ascii="Times New Roman" w:eastAsia="Calibri" w:hAnsi="Times New Roman" w:cs="Times New Roman"/>
          <w:lang w:val="en-US"/>
        </w:rPr>
        <w:t>Karen Ikin</w:t>
      </w:r>
      <w:r>
        <w:rPr>
          <w:rFonts w:ascii="Times New Roman" w:eastAsia="Calibri" w:hAnsi="Times New Roman" w:cs="Times New Roman"/>
          <w:lang w:val="en-US"/>
        </w:rPr>
        <w:t>*</w:t>
      </w:r>
      <w:r w:rsidRPr="00A67A21">
        <w:rPr>
          <w:rFonts w:ascii="Times New Roman" w:eastAsia="Calibri" w:hAnsi="Times New Roman" w:cs="Times New Roman"/>
          <w:lang w:val="en-US"/>
        </w:rPr>
        <w:t>, Ayesha Tulloch, Philip Gibbons, Dean Ansell, Julian Seddon and David Lindenmayer</w:t>
      </w:r>
    </w:p>
    <w:p w:rsidR="00871FD9" w:rsidRDefault="00871FD9" w:rsidP="00871FD9">
      <w:p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Emil: </w:t>
      </w:r>
      <w:hyperlink r:id="rId5" w:history="1">
        <w:r w:rsidRPr="001C692B">
          <w:rPr>
            <w:rStyle w:val="Hyperlink"/>
            <w:rFonts w:ascii="Times New Roman" w:eastAsia="Calibri" w:hAnsi="Times New Roman" w:cs="Times New Roman"/>
            <w:lang w:val="en-US"/>
          </w:rPr>
          <w:t>karen.ikin@anu.edu.au</w:t>
        </w:r>
      </w:hyperlink>
    </w:p>
    <w:p w:rsidR="00871FD9" w:rsidRDefault="00871FD9" w:rsidP="00871FD9">
      <w:p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</w:p>
    <w:p w:rsidR="00871FD9" w:rsidRPr="00A67A21" w:rsidRDefault="00871FD9" w:rsidP="00871FD9">
      <w:p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</w:p>
    <w:p w:rsidR="00304731" w:rsidRDefault="00304731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lang w:val="en-GB"/>
        </w:rPr>
      </w:pPr>
      <w:r w:rsidRPr="00E87F6C">
        <w:rPr>
          <w:rFonts w:ascii="Times New Roman" w:hAnsi="Times New Roman" w:cs="Times New Roman"/>
          <w:b/>
          <w:lang w:val="en-GB"/>
        </w:rPr>
        <w:t>Supporting Information</w:t>
      </w:r>
    </w:p>
    <w:p w:rsidR="00871FD9" w:rsidRDefault="00871FD9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lang w:val="en-GB"/>
        </w:rPr>
      </w:pPr>
    </w:p>
    <w:p w:rsidR="00871FD9" w:rsidRPr="00E87F6C" w:rsidRDefault="00871FD9" w:rsidP="00871FD9">
      <w:pPr>
        <w:pStyle w:val="NoSpacing"/>
        <w:keepNext/>
        <w:spacing w:line="360" w:lineRule="auto"/>
        <w:contextualSpacing/>
        <w:outlineLvl w:val="0"/>
        <w:rPr>
          <w:rFonts w:ascii="Times New Roman" w:hAnsi="Times New Roman" w:cs="Times New Roman"/>
          <w:b/>
          <w:lang w:val="en-GB"/>
        </w:rPr>
      </w:pPr>
    </w:p>
    <w:p w:rsidR="00304731" w:rsidRPr="00E87F6C" w:rsidRDefault="00BD6EF0" w:rsidP="00871FD9">
      <w:pPr>
        <w:pStyle w:val="NoSpacing"/>
        <w:spacing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Appendix S1</w:t>
      </w:r>
      <w:r w:rsidR="00304731" w:rsidRPr="00E87F6C">
        <w:rPr>
          <w:rFonts w:ascii="Times New Roman" w:hAnsi="Times New Roman" w:cs="Times New Roman"/>
          <w:lang w:val="en-GB"/>
        </w:rPr>
        <w:t xml:space="preserve">: Summary of </w:t>
      </w:r>
      <w:r w:rsidR="000121FF">
        <w:rPr>
          <w:rFonts w:ascii="Times New Roman" w:hAnsi="Times New Roman" w:cs="Times New Roman"/>
          <w:lang w:val="en-GB"/>
        </w:rPr>
        <w:t>planting attributes</w:t>
      </w:r>
      <w:r w:rsidR="00304731" w:rsidRPr="00E87F6C">
        <w:rPr>
          <w:rFonts w:ascii="Times New Roman" w:hAnsi="Times New Roman" w:cs="Times New Roman"/>
          <w:lang w:val="en-GB"/>
        </w:rPr>
        <w:t xml:space="preserve"> considered in the analyses, and example of </w:t>
      </w:r>
      <w:r w:rsidR="00EC52FD">
        <w:rPr>
          <w:rFonts w:ascii="Times New Roman" w:hAnsi="Times New Roman" w:cs="Times New Roman"/>
          <w:lang w:val="en-GB"/>
        </w:rPr>
        <w:t>previous studies</w:t>
      </w:r>
      <w:r w:rsidR="00304731" w:rsidRPr="00E87F6C">
        <w:rPr>
          <w:rFonts w:ascii="Times New Roman" w:hAnsi="Times New Roman" w:cs="Times New Roman"/>
          <w:lang w:val="en-GB"/>
        </w:rPr>
        <w:t xml:space="preserve"> that ha</w:t>
      </w:r>
      <w:r w:rsidR="00EC52FD">
        <w:rPr>
          <w:rFonts w:ascii="Times New Roman" w:hAnsi="Times New Roman" w:cs="Times New Roman"/>
          <w:lang w:val="en-GB"/>
        </w:rPr>
        <w:t>ve</w:t>
      </w:r>
      <w:r w:rsidR="00304731" w:rsidRPr="00E87F6C">
        <w:rPr>
          <w:rFonts w:ascii="Times New Roman" w:hAnsi="Times New Roman" w:cs="Times New Roman"/>
          <w:lang w:val="en-GB"/>
        </w:rPr>
        <w:t xml:space="preserve"> found the </w:t>
      </w:r>
      <w:r w:rsidR="00EC52FD">
        <w:rPr>
          <w:rFonts w:ascii="Times New Roman" w:hAnsi="Times New Roman" w:cs="Times New Roman"/>
          <w:lang w:val="en-GB"/>
        </w:rPr>
        <w:t>attribute</w:t>
      </w:r>
      <w:r w:rsidR="00304731" w:rsidRPr="00E87F6C">
        <w:rPr>
          <w:rFonts w:ascii="Times New Roman" w:hAnsi="Times New Roman" w:cs="Times New Roman"/>
          <w:lang w:val="en-GB"/>
        </w:rPr>
        <w:t xml:space="preserve"> to be important in explaining bird diversity in restoration plantings.</w:t>
      </w:r>
    </w:p>
    <w:tbl>
      <w:tblPr>
        <w:tblW w:w="5000" w:type="pct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448"/>
        <w:gridCol w:w="4493"/>
        <w:gridCol w:w="1594"/>
        <w:gridCol w:w="2427"/>
      </w:tblGrid>
      <w:tr w:rsidR="00304731" w:rsidRPr="00E87F6C" w:rsidTr="000121FF">
        <w:trPr>
          <w:trHeight w:val="225"/>
          <w:tblHeader/>
        </w:trPr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731" w:rsidRPr="00E87F6C" w:rsidRDefault="000121FF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>
              <w:rPr>
                <w:rFonts w:ascii="Times New Roman" w:eastAsia="Times New Roman" w:hAnsi="Times New Roman" w:cs="Times New Roman"/>
                <w:lang w:val="en-GB" w:eastAsia="en-AU"/>
              </w:rPr>
              <w:t>Planting attributes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Definition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Mean (Range)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Example studies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Cost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Establishment cost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$16, 052 </w:t>
            </w: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br/>
              <w:t>($4, 948 – $75,869)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Polyakov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 et al. 2015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Age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Number of years since the establishment of the planting (since 2006).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11 (0 – 44)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Munro et al. 2011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Area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Size of planting (ha).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4.24 (0.3 – 60.3)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Kavanagh et al. 2007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Munro et al. 2011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Width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Width of planting (m).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65.16 (10 – 300)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Kinross 2004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2007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Munro et al. 2011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Habitat complexity score (HCS)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hAnsi="Times New Roman" w:cs="Times New Roman"/>
                <w:lang w:val="en-GB"/>
              </w:rPr>
              <w:t>Vegetation structural complexity was based on vegetation data collected in 2007/08 and 2013: (</w:t>
            </w: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) the </w:t>
            </w: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percent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 cover of </w:t>
            </w: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overstorey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midstorey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 and </w:t>
            </w:r>
            <w:proofErr w:type="spellStart"/>
            <w:r w:rsidRPr="00E87F6C">
              <w:rPr>
                <w:rFonts w:ascii="Times New Roman" w:hAnsi="Times New Roman" w:cs="Times New Roman"/>
                <w:lang w:val="en-GB"/>
              </w:rPr>
              <w:t>understorey</w:t>
            </w:r>
            <w:proofErr w:type="spellEnd"/>
            <w:r w:rsidRPr="00E87F6C">
              <w:rPr>
                <w:rFonts w:ascii="Times New Roman" w:hAnsi="Times New Roman" w:cs="Times New Roman"/>
                <w:lang w:val="en-GB"/>
              </w:rPr>
              <w:t xml:space="preserve"> vegetation, the number of logs per ha, and the presence of large trees (&gt; 50 cm diameter at breast height) were recorded within three 20 x 20 m plots located at the 0 m, 100 m </w:t>
            </w:r>
            <w:r w:rsidRPr="00E87F6C">
              <w:rPr>
                <w:rFonts w:ascii="Times New Roman" w:hAnsi="Times New Roman" w:cs="Times New Roman"/>
                <w:lang w:val="en-GB"/>
              </w:rPr>
              <w:lastRenderedPageBreak/>
              <w:t xml:space="preserve">and 200 m transect points; and (ii) the percent cover of </w:t>
            </w: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native grass, exotic grass, exotic perennials, broadleaf weeds, forbs, leaf litter, and moss and lichen were recorded within twelve 1 m x 1 m quadrats located at the corners of the plots. A combined site-level habitat complexity score was calculated from these data, following Munro et al. (2011) (Table S2).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lastRenderedPageBreak/>
              <w:t>18 (9 – 29)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Munro et al. 2011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lastRenderedPageBreak/>
              <w:t>Woody vegetation (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WoodyVeg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)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Percentage of vegetation cover within a 1 km buffer from the 100 m transect point. </w:t>
            </w:r>
            <w:r w:rsidRPr="00E87F6C">
              <w:rPr>
                <w:rFonts w:ascii="Times New Roman" w:hAnsi="Times New Roman" w:cs="Times New Roman"/>
                <w:lang w:val="en-GB"/>
              </w:rPr>
              <w:t>Derived from Landsat satellite imagery (Danaher 2011).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5.45% (0.00% – 23.00%)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Kavanagh et al. 2007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Munro et al. 2011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Radford et al. 2005</w:t>
            </w:r>
          </w:p>
        </w:tc>
      </w:tr>
      <w:tr w:rsidR="00304731" w:rsidRPr="00E87F6C" w:rsidTr="000121FF">
        <w:trPr>
          <w:trHeight w:val="225"/>
        </w:trPr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Topographic wetness index (TWI)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Position in landscape, ranging from ridge tops to valley floors. </w:t>
            </w:r>
            <w:r w:rsidRPr="00E87F6C">
              <w:rPr>
                <w:rFonts w:ascii="Times New Roman" w:hAnsi="Times New Roman" w:cs="Times New Roman"/>
                <w:lang w:val="en-GB"/>
              </w:rPr>
              <w:t>Derived from a 20 m resolution Digital Elevation Model (DEM)</w:t>
            </w:r>
            <w:r w:rsidRPr="00E87F6C">
              <w:rPr>
                <w:lang w:val="en-GB"/>
              </w:rPr>
              <w:t xml:space="preserve"> </w:t>
            </w:r>
            <w:r w:rsidRPr="00E87F6C">
              <w:rPr>
                <w:rFonts w:ascii="Times New Roman" w:hAnsi="Times New Roman" w:cs="Times New Roman"/>
                <w:lang w:val="en-GB"/>
              </w:rPr>
              <w:t>(Montague-Drake et al. 2011), and calculated at the 100 m transect point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0.61 (-2.68 – 10.23)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Lindenmayer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et al. 2010</w:t>
            </w:r>
          </w:p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hAnsi="Times New Roman" w:cs="Times New Roman"/>
                <w:lang w:val="en-GB"/>
              </w:rPr>
              <w:t>Montague-Drake et al. 2011</w:t>
            </w:r>
          </w:p>
        </w:tc>
      </w:tr>
    </w:tbl>
    <w:p w:rsidR="00304731" w:rsidRPr="00E87F6C" w:rsidRDefault="00304731" w:rsidP="00871FD9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304731" w:rsidRPr="00E87F6C" w:rsidRDefault="00304731" w:rsidP="00871FD9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lang w:val="en-GB"/>
        </w:rPr>
      </w:pPr>
      <w:r w:rsidRPr="00E87F6C">
        <w:rPr>
          <w:rFonts w:ascii="Times New Roman" w:hAnsi="Times New Roman" w:cs="Times New Roman"/>
          <w:b/>
          <w:lang w:val="en-GB"/>
        </w:rPr>
        <w:t>Literature cited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t>Danaher, T. 2011. Description of remote sensing based Foliage Projective Cover and Woody Extent Products. Office of Environment and Heritage, NSW Department of Premier and Cabinet.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t xml:space="preserve">Kavanagh, R., M. A. Stanton, and M. W. Herring. 2007. Eucalypt plantings on farms benefit woodland birds in south-eastern Australia. </w:t>
      </w:r>
      <w:r w:rsidRPr="00E87F6C">
        <w:rPr>
          <w:rFonts w:ascii="Times New Roman" w:hAnsi="Times New Roman" w:cs="Times New Roman"/>
          <w:i/>
          <w:lang w:val="en-GB"/>
        </w:rPr>
        <w:t xml:space="preserve">Austral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Ecol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32:635-650. 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t xml:space="preserve">Kinross, C. 2004. Avian use of farm habitats, including windbreaks, on the New South Wales Tablelands. </w:t>
      </w:r>
      <w:r w:rsidRPr="00E87F6C">
        <w:rPr>
          <w:rFonts w:ascii="Times New Roman" w:hAnsi="Times New Roman" w:cs="Times New Roman"/>
          <w:i/>
          <w:lang w:val="en-GB"/>
        </w:rPr>
        <w:t>Pac</w:t>
      </w:r>
      <w:r w:rsidRPr="00E87F6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Conserv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Biol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10:180-192.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t xml:space="preserve">Montague-Drake, R. M., D. B. </w:t>
      </w:r>
      <w:proofErr w:type="spellStart"/>
      <w:r w:rsidRPr="00E87F6C">
        <w:rPr>
          <w:rFonts w:ascii="Times New Roman" w:hAnsi="Times New Roman" w:cs="Times New Roman"/>
          <w:lang w:val="en-GB"/>
        </w:rPr>
        <w:t>Lindenmayer</w:t>
      </w:r>
      <w:proofErr w:type="spellEnd"/>
      <w:r w:rsidRPr="00E87F6C">
        <w:rPr>
          <w:rFonts w:ascii="Times New Roman" w:hAnsi="Times New Roman" w:cs="Times New Roman"/>
          <w:lang w:val="en-GB"/>
        </w:rPr>
        <w:t>, R. B. Cunningham, and J. A. Stein. 2011. A reverse keystone species affects the landscape distribution of woodland avifauna: A case study using the Noisy Miner (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Manorina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melanocephala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) and other Australian birds.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Landsc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Ecol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26:1383-1394.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proofErr w:type="spellStart"/>
      <w:r w:rsidRPr="00E87F6C">
        <w:rPr>
          <w:rFonts w:ascii="Times New Roman" w:hAnsi="Times New Roman" w:cs="Times New Roman"/>
          <w:lang w:val="en-GB"/>
        </w:rPr>
        <w:t>Lindenmayer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, D. B., R. Cunningham, M. Crane, D. Michael, and R. Montague-Drake. 2007. Farmland bird responses to intersecting replanted areas.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Landsc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Ecol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22:1555-1562.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proofErr w:type="spellStart"/>
      <w:r w:rsidRPr="00E87F6C">
        <w:rPr>
          <w:rFonts w:ascii="Times New Roman" w:hAnsi="Times New Roman" w:cs="Times New Roman"/>
          <w:lang w:val="en-GB"/>
        </w:rPr>
        <w:t>Lindenmayer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, D. B., E. J. Knight, M. J. Crane, R. Montague-Drake, D. R. Michael, and C. I. MacGregor. 2010. What makes an effective restoration planting for woodland birds?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Biol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Conserv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143:289-301.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lastRenderedPageBreak/>
        <w:t xml:space="preserve">Munro, N., J. Fischer, G. Barrett, J. Wood, A. </w:t>
      </w:r>
      <w:proofErr w:type="spellStart"/>
      <w:r w:rsidRPr="00E87F6C">
        <w:rPr>
          <w:rFonts w:ascii="Times New Roman" w:hAnsi="Times New Roman" w:cs="Times New Roman"/>
          <w:lang w:val="en-GB"/>
        </w:rPr>
        <w:t>Leavesley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, and D. B. </w:t>
      </w:r>
      <w:proofErr w:type="spellStart"/>
      <w:r w:rsidRPr="00E87F6C">
        <w:rPr>
          <w:rFonts w:ascii="Times New Roman" w:hAnsi="Times New Roman" w:cs="Times New Roman"/>
          <w:lang w:val="en-GB"/>
        </w:rPr>
        <w:t>Lindenmayer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. 2011. Bird's response to revegetation of different structure and floristics - are "restoration plantings" restoring bird communities.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Restor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Ecol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19:223-235.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</w:pPr>
      <w:proofErr w:type="spellStart"/>
      <w:r w:rsidRPr="00E87F6C">
        <w:rPr>
          <w:rFonts w:ascii="Times New Roman" w:hAnsi="Times New Roman" w:cs="Times New Roman"/>
          <w:lang w:val="en-GB"/>
        </w:rPr>
        <w:t>Polyakov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, M., D. J. Pannell, M. </w:t>
      </w:r>
      <w:proofErr w:type="spellStart"/>
      <w:r w:rsidRPr="00E87F6C">
        <w:rPr>
          <w:rFonts w:ascii="Times New Roman" w:hAnsi="Times New Roman" w:cs="Times New Roman"/>
          <w:lang w:val="en-GB"/>
        </w:rPr>
        <w:t>Chalak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, G. Park, A. Roberts, and A. D. Rowles. 2015. Restoring native vegetation in an agricultural landscape: spatial optimization for woodland birds. </w:t>
      </w:r>
      <w:r w:rsidRPr="00E87F6C">
        <w:rPr>
          <w:rFonts w:ascii="Times New Roman" w:hAnsi="Times New Roman" w:cs="Times New Roman"/>
          <w:i/>
          <w:lang w:val="en-GB"/>
        </w:rPr>
        <w:t>Land Economics</w:t>
      </w:r>
      <w:r w:rsidRPr="00E87F6C">
        <w:rPr>
          <w:rFonts w:ascii="Times New Roman" w:hAnsi="Times New Roman" w:cs="Times New Roman"/>
          <w:lang w:val="en-GB"/>
        </w:rPr>
        <w:t xml:space="preserve"> 91:252-271.</w:t>
      </w:r>
      <w:r w:rsidRPr="00E87F6C">
        <w:t xml:space="preserve"> </w:t>
      </w:r>
    </w:p>
    <w:p w:rsidR="00304731" w:rsidRPr="00E87F6C" w:rsidRDefault="00304731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t>Radford, J. Q., A. F. Bennett, and G. J. Cheers. 2005. Landscape-level thresholds of habitat cover for woodland-dependent birds</w:t>
      </w:r>
      <w:r w:rsidRPr="00E87F6C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Biol</w:t>
      </w:r>
      <w:proofErr w:type="spellEnd"/>
      <w:r w:rsidRPr="00E87F6C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87F6C">
        <w:rPr>
          <w:rFonts w:ascii="Times New Roman" w:hAnsi="Times New Roman" w:cs="Times New Roman"/>
          <w:i/>
          <w:lang w:val="en-GB"/>
        </w:rPr>
        <w:t>Conserv</w:t>
      </w:r>
      <w:proofErr w:type="spellEnd"/>
      <w:r w:rsidRPr="00E87F6C">
        <w:rPr>
          <w:rFonts w:ascii="Times New Roman" w:hAnsi="Times New Roman" w:cs="Times New Roman"/>
          <w:lang w:val="en-GB"/>
        </w:rPr>
        <w:t xml:space="preserve"> 124:317-337.</w:t>
      </w:r>
    </w:p>
    <w:p w:rsidR="00871FD9" w:rsidRDefault="00871FD9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</w:p>
    <w:p w:rsidR="00871FD9" w:rsidRDefault="00871FD9" w:rsidP="00871FD9">
      <w:pPr>
        <w:pStyle w:val="NoSpacing"/>
        <w:spacing w:line="360" w:lineRule="auto"/>
        <w:ind w:left="720" w:hanging="720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304731" w:rsidP="00871FD9">
      <w:pPr>
        <w:pStyle w:val="NoSpacing"/>
        <w:spacing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BD6EF0" w:rsidP="00871FD9">
      <w:pPr>
        <w:pStyle w:val="NoSpacing"/>
        <w:spacing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Appendix S2</w:t>
      </w:r>
      <w:r w:rsidR="00304731" w:rsidRPr="00E87F6C">
        <w:rPr>
          <w:rFonts w:ascii="Times New Roman" w:hAnsi="Times New Roman" w:cs="Times New Roman"/>
          <w:lang w:val="en-GB"/>
        </w:rPr>
        <w:t>: Habitat complexity score (HCS). Planting HCS was the sum of the scores for each element.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6"/>
        <w:gridCol w:w="1847"/>
        <w:gridCol w:w="1847"/>
      </w:tblGrid>
      <w:tr w:rsidR="00304731" w:rsidRPr="00E87F6C" w:rsidTr="000121FF">
        <w:trPr>
          <w:trHeight w:val="22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Score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Strata % cover*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Logs/ha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Trees &gt; 50 cm/ha</w:t>
            </w:r>
          </w:p>
        </w:tc>
      </w:tr>
      <w:tr w:rsidR="00304731" w:rsidRPr="00E87F6C" w:rsidTr="000121FF">
        <w:trPr>
          <w:trHeight w:val="225"/>
        </w:trPr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&lt; 1%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&lt; 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&lt; 1</w:t>
            </w:r>
          </w:p>
        </w:tc>
      </w:tr>
      <w:tr w:rsidR="00304731" w:rsidRPr="00E87F6C" w:rsidTr="000121FF">
        <w:trPr>
          <w:trHeight w:val="225"/>
        </w:trPr>
        <w:tc>
          <w:tcPr>
            <w:tcW w:w="827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1-5%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1-10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</w:p>
        </w:tc>
      </w:tr>
      <w:tr w:rsidR="00304731" w:rsidRPr="00E87F6C" w:rsidTr="000121FF">
        <w:trPr>
          <w:trHeight w:val="225"/>
        </w:trPr>
        <w:tc>
          <w:tcPr>
            <w:tcW w:w="827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6-30%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11-50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</w:p>
        </w:tc>
      </w:tr>
      <w:tr w:rsidR="00304731" w:rsidRPr="00E87F6C" w:rsidTr="000121FF">
        <w:trPr>
          <w:trHeight w:val="225"/>
        </w:trPr>
        <w:tc>
          <w:tcPr>
            <w:tcW w:w="827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31-70%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51-100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</w:p>
        </w:tc>
      </w:tr>
      <w:tr w:rsidR="00304731" w:rsidRPr="00E87F6C" w:rsidTr="000121FF">
        <w:trPr>
          <w:trHeight w:val="225"/>
        </w:trPr>
        <w:tc>
          <w:tcPr>
            <w:tcW w:w="827" w:type="dxa"/>
            <w:tcBorders>
              <w:bottom w:val="single" w:sz="4" w:space="0" w:color="auto"/>
            </w:tcBorders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noWrap/>
            <w:hideMark/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&gt; 70%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&gt; 100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≥ 1</w:t>
            </w:r>
          </w:p>
        </w:tc>
      </w:tr>
    </w:tbl>
    <w:p w:rsidR="00304731" w:rsidRPr="00E87F6C" w:rsidRDefault="00304731" w:rsidP="00871FD9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en-AU"/>
        </w:rPr>
      </w:pPr>
      <w:r w:rsidRPr="00E87F6C">
        <w:rPr>
          <w:rFonts w:ascii="Times New Roman" w:eastAsia="Times New Roman" w:hAnsi="Times New Roman" w:cs="Times New Roman"/>
          <w:lang w:val="en-GB" w:eastAsia="en-AU"/>
        </w:rPr>
        <w:t xml:space="preserve">*Strata includes </w:t>
      </w:r>
      <w:proofErr w:type="spellStart"/>
      <w:r w:rsidRPr="00E87F6C">
        <w:rPr>
          <w:rFonts w:ascii="Times New Roman" w:eastAsia="Times New Roman" w:hAnsi="Times New Roman" w:cs="Times New Roman"/>
          <w:lang w:val="en-GB" w:eastAsia="en-AU"/>
        </w:rPr>
        <w:t>overstorey</w:t>
      </w:r>
      <w:proofErr w:type="spellEnd"/>
      <w:r w:rsidRPr="00E87F6C">
        <w:rPr>
          <w:rFonts w:ascii="Times New Roman" w:eastAsia="Times New Roman" w:hAnsi="Times New Roman" w:cs="Times New Roman"/>
          <w:lang w:val="en-GB" w:eastAsia="en-AU"/>
        </w:rPr>
        <w:t xml:space="preserve">, </w:t>
      </w:r>
      <w:proofErr w:type="spellStart"/>
      <w:r w:rsidRPr="00E87F6C">
        <w:rPr>
          <w:rFonts w:ascii="Times New Roman" w:eastAsia="Times New Roman" w:hAnsi="Times New Roman" w:cs="Times New Roman"/>
          <w:lang w:val="en-GB" w:eastAsia="en-AU"/>
        </w:rPr>
        <w:t>midstorey</w:t>
      </w:r>
      <w:proofErr w:type="spellEnd"/>
      <w:r w:rsidRPr="00E87F6C">
        <w:rPr>
          <w:rFonts w:ascii="Times New Roman" w:eastAsia="Times New Roman" w:hAnsi="Times New Roman" w:cs="Times New Roman"/>
          <w:lang w:val="en-GB" w:eastAsia="en-AU"/>
        </w:rPr>
        <w:t xml:space="preserve">, </w:t>
      </w:r>
      <w:proofErr w:type="spellStart"/>
      <w:r w:rsidRPr="00E87F6C">
        <w:rPr>
          <w:rFonts w:ascii="Times New Roman" w:eastAsia="Times New Roman" w:hAnsi="Times New Roman" w:cs="Times New Roman"/>
          <w:lang w:val="en-GB" w:eastAsia="en-AU"/>
        </w:rPr>
        <w:t>understorey</w:t>
      </w:r>
      <w:proofErr w:type="spellEnd"/>
      <w:r w:rsidRPr="00E87F6C">
        <w:rPr>
          <w:rFonts w:ascii="Times New Roman" w:eastAsia="Times New Roman" w:hAnsi="Times New Roman" w:cs="Times New Roman"/>
          <w:lang w:val="en-GB" w:eastAsia="en-AU"/>
        </w:rPr>
        <w:t xml:space="preserve"> and ground layer (native tussock, exotic tussock, exotic grass, broadleaf weeds, forbs, and leaf litter).</w:t>
      </w: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en-AU"/>
        </w:rPr>
      </w:pP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en-AU"/>
        </w:rPr>
      </w:pP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en-AU"/>
        </w:rPr>
      </w:pPr>
    </w:p>
    <w:p w:rsidR="00304731" w:rsidRPr="00E87F6C" w:rsidRDefault="00BD6EF0" w:rsidP="00871FD9">
      <w:pPr>
        <w:pStyle w:val="NoSpacing"/>
        <w:spacing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S3: Costs of materials and labour for fencing and direct-seeding of restoration sites</w:t>
      </w:r>
      <w:r w:rsidR="00EC52FD">
        <w:rPr>
          <w:rFonts w:ascii="Times New Roman" w:hAnsi="Times New Roman" w:cs="Times New Roman"/>
          <w:lang w:val="en-GB"/>
        </w:rPr>
        <w:t>, based on 2015 pricing rates used by Greening Australia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886"/>
        <w:gridCol w:w="1847"/>
      </w:tblGrid>
      <w:tr w:rsidR="00304731" w:rsidRPr="00E87F6C" w:rsidTr="000121FF">
        <w:trPr>
          <w:trHeight w:val="225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Item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Description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04731" w:rsidRPr="00E87F6C" w:rsidRDefault="00EC52FD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>
              <w:rPr>
                <w:rFonts w:ascii="Times New Roman" w:eastAsia="Times New Roman" w:hAnsi="Times New Roman" w:cs="Times New Roman"/>
                <w:lang w:val="en-GB" w:eastAsia="en-AU"/>
              </w:rPr>
              <w:t>Rate ($AU</w:t>
            </w:r>
            <w:r w:rsidR="00304731" w:rsidRPr="00E87F6C">
              <w:rPr>
                <w:rFonts w:ascii="Times New Roman" w:eastAsia="Times New Roman" w:hAnsi="Times New Roman" w:cs="Times New Roman"/>
                <w:lang w:val="en-GB" w:eastAsia="en-AU"/>
              </w:rPr>
              <w:t>)</w:t>
            </w:r>
          </w:p>
        </w:tc>
      </w:tr>
      <w:tr w:rsidR="00304731" w:rsidRPr="00E87F6C" w:rsidTr="000121FF">
        <w:trPr>
          <w:trHeight w:val="225"/>
        </w:trPr>
        <w:tc>
          <w:tcPr>
            <w:tcW w:w="2666" w:type="dxa"/>
            <w:tcBorders>
              <w:top w:val="single" w:sz="4" w:space="0" w:color="auto"/>
            </w:tcBorders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Fencing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Fencing materials and labour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$10,000/km</w:t>
            </w:r>
          </w:p>
        </w:tc>
      </w:tr>
      <w:tr w:rsidR="00304731" w:rsidRPr="00E87F6C" w:rsidTr="000121FF">
        <w:trPr>
          <w:trHeight w:val="225"/>
        </w:trPr>
        <w:tc>
          <w:tcPr>
            <w:tcW w:w="2666" w:type="dxa"/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Direct-seeding  - materials</w:t>
            </w:r>
          </w:p>
        </w:tc>
        <w:tc>
          <w:tcPr>
            <w:tcW w:w="2886" w:type="dxa"/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Seed, machinery</w:t>
            </w:r>
          </w:p>
        </w:tc>
        <w:tc>
          <w:tcPr>
            <w:tcW w:w="1847" w:type="dxa"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&lt; 2 ha = $750/ha</w:t>
            </w:r>
          </w:p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2-4 ha = $625/ha</w:t>
            </w:r>
          </w:p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&gt;4 ha = $550/ha</w:t>
            </w:r>
          </w:p>
        </w:tc>
      </w:tr>
      <w:tr w:rsidR="00304731" w:rsidRPr="00E87F6C" w:rsidTr="000121FF">
        <w:trPr>
          <w:trHeight w:val="225"/>
        </w:trPr>
        <w:tc>
          <w:tcPr>
            <w:tcW w:w="2666" w:type="dxa"/>
            <w:tcBorders>
              <w:bottom w:val="single" w:sz="4" w:space="0" w:color="auto"/>
            </w:tcBorders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Direct-seeding  - labour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noWrap/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Labour, site preparation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04731" w:rsidRPr="00E87F6C" w:rsidRDefault="00304731" w:rsidP="00871F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$77.68/ha </w:t>
            </w:r>
          </w:p>
        </w:tc>
      </w:tr>
    </w:tbl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  <w:r w:rsidRPr="00E87F6C">
        <w:rPr>
          <w:rFonts w:ascii="Times New Roman" w:hAnsi="Times New Roman" w:cs="Times New Roman"/>
          <w:lang w:val="en-GB"/>
        </w:rPr>
        <w:br w:type="page"/>
      </w:r>
    </w:p>
    <w:p w:rsidR="00304731" w:rsidRPr="00E87F6C" w:rsidRDefault="00BD6EF0" w:rsidP="00871FD9">
      <w:pPr>
        <w:pStyle w:val="NoSpacing"/>
        <w:spacing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S4: Woodland bird species of conservation concern, justification for inclusion and number of observations between 2006 and 2013. ‘Legislation’: listed as threatened in NSW under the </w:t>
      </w:r>
      <w:r w:rsidR="00304731" w:rsidRPr="00E87F6C">
        <w:rPr>
          <w:rFonts w:ascii="Times New Roman" w:hAnsi="Times New Roman" w:cs="Times New Roman"/>
          <w:i/>
          <w:lang w:val="en-GB"/>
        </w:rPr>
        <w:t>Threatened Species Conservation Act 1995</w:t>
      </w:r>
      <w:r w:rsidR="00304731" w:rsidRPr="00E87F6C">
        <w:rPr>
          <w:rFonts w:ascii="Times New Roman" w:hAnsi="Times New Roman" w:cs="Times New Roman"/>
          <w:lang w:val="en-GB"/>
        </w:rPr>
        <w:t xml:space="preserve"> (this also captures relevant nationally</w:t>
      </w:r>
      <w:r w:rsidR="00B37E59">
        <w:rPr>
          <w:rFonts w:ascii="Times New Roman" w:hAnsi="Times New Roman" w:cs="Times New Roman"/>
          <w:lang w:val="en-GB"/>
        </w:rPr>
        <w:t xml:space="preserve">-listed threatened species) </w:t>
      </w:r>
      <w:r w:rsidR="00304731" w:rsidRPr="00E87F6C">
        <w:rPr>
          <w:rFonts w:ascii="Times New Roman" w:hAnsi="Times New Roman" w:cs="Times New Roman"/>
          <w:lang w:val="en-GB"/>
        </w:rPr>
        <w:t>or ‘Atlas’: identified as having a &gt;20% decrease in South West Slopes bioregion reporting rate between the first and second Atlas of Australian Birds.</w:t>
      </w:r>
    </w:p>
    <w:tbl>
      <w:tblPr>
        <w:tblW w:w="7941" w:type="dxa"/>
        <w:tblInd w:w="108" w:type="dxa"/>
        <w:tblLook w:val="04A0" w:firstRow="1" w:lastRow="0" w:firstColumn="1" w:lastColumn="0" w:noHBand="0" w:noVBand="1"/>
      </w:tblPr>
      <w:tblGrid>
        <w:gridCol w:w="2923"/>
        <w:gridCol w:w="2606"/>
        <w:gridCol w:w="1316"/>
        <w:gridCol w:w="1096"/>
      </w:tblGrid>
      <w:tr w:rsidR="00304731" w:rsidRPr="00E87F6C" w:rsidTr="000121FF">
        <w:trPr>
          <w:trHeight w:val="225"/>
        </w:trPr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bCs/>
                <w:lang w:val="en-GB" w:eastAsia="en-AU"/>
              </w:rPr>
              <w:t>Common name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bCs/>
                <w:lang w:val="en-GB" w:eastAsia="en-AU"/>
              </w:rPr>
              <w:t>Scientific name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bCs/>
                <w:lang w:val="en-GB" w:eastAsia="en-AU"/>
              </w:rPr>
              <w:t>Source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bCs/>
                <w:lang w:val="en-GB" w:eastAsia="en-AU"/>
              </w:rPr>
              <w:t>Records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Black-chinned Honeyeater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Melithreptus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gularis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Brown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Songlark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Cincloramphus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cruralis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56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Brown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Treecreeper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Climacteris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picumnus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8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Cockatiel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Nymphicus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hollandicus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15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Crested Shrike-tit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Falcunculus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frontatus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30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Diamond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Firetail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Stagonopleura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guttata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21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Dollarbird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Eurystomus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orientalis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Dusky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Woodswallow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Artamus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cyanopterus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Fairy Martin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Petrochelidon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ariel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Grey-crowned Babbler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Pomatostomus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temporalis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11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Jacky Winter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Microeca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fascinans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Little Lorikeet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Glossopsitta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pusilla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Masked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Woodswallow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Artamus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personatus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7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Pied Butcherbird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Cracticus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nigrogularis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Rainbow Bee-eater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Merops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ornatus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13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Restless Flycatcher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Myiagra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inquieta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Scarlet Robin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Petroica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boodang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Southern Whiteface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Aphelocephala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leucopsis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Speckled Warbler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Chthonicola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sagittata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Superb Parrot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Polytelis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swainsonii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19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Weebill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Smicrornis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brevirostris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66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White-browed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Woodswallow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Artamus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superciliosus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54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White-fronted Chat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Epthianura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albifrons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Legislation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8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White-winged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Triller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Lalage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sueurii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46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Yellow-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rumped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Thornbill</w:t>
            </w:r>
            <w:proofErr w:type="spellEnd"/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Acanthiza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chrysorrhoa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119</w:t>
            </w:r>
          </w:p>
        </w:tc>
      </w:tr>
      <w:tr w:rsidR="00304731" w:rsidRPr="00E87F6C" w:rsidTr="000121FF">
        <w:trPr>
          <w:trHeight w:val="225"/>
        </w:trPr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Zebra Finch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GB" w:eastAsia="en-AU"/>
              </w:rPr>
            </w:pP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Taeniopygia</w:t>
            </w:r>
            <w:proofErr w:type="spellEnd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 xml:space="preserve"> </w:t>
            </w:r>
            <w:proofErr w:type="spellStart"/>
            <w:r w:rsidRPr="00E87F6C">
              <w:rPr>
                <w:rFonts w:ascii="Times New Roman" w:eastAsia="Times New Roman" w:hAnsi="Times New Roman" w:cs="Times New Roman"/>
                <w:i/>
                <w:lang w:val="en-GB" w:eastAsia="en-AU"/>
              </w:rPr>
              <w:t>guttata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Atlas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</w:t>
            </w:r>
          </w:p>
        </w:tc>
      </w:tr>
    </w:tbl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BD6EF0" w:rsidP="00871FD9">
      <w:pPr>
        <w:keepNext/>
        <w:keepLines/>
        <w:spacing w:after="0"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S5 Comparison of </w:t>
      </w:r>
      <w:r w:rsidR="00B37E59">
        <w:rPr>
          <w:rFonts w:ascii="Times New Roman" w:hAnsi="Times New Roman" w:cs="Times New Roman"/>
          <w:lang w:val="en-GB"/>
        </w:rPr>
        <w:t xml:space="preserve">dynamic complementarity </w:t>
      </w:r>
      <w:r w:rsidR="00304731" w:rsidRPr="00E87F6C">
        <w:rPr>
          <w:rFonts w:ascii="Times New Roman" w:hAnsi="Times New Roman" w:cs="Times New Roman"/>
          <w:lang w:val="en-GB"/>
        </w:rPr>
        <w:t xml:space="preserve">scenarios with cost included and excluded, for the </w:t>
      </w:r>
      <w:r w:rsidR="00B37E59">
        <w:rPr>
          <w:rFonts w:ascii="Times New Roman" w:hAnsi="Times New Roman" w:cs="Times New Roman"/>
          <w:lang w:val="en-GB"/>
        </w:rPr>
        <w:t xml:space="preserve">representation targets of </w:t>
      </w:r>
      <w:r w:rsidR="00304731" w:rsidRPr="00E87F6C">
        <w:rPr>
          <w:rFonts w:ascii="Times New Roman" w:hAnsi="Times New Roman" w:cs="Times New Roman"/>
          <w:lang w:val="en-GB"/>
        </w:rPr>
        <w:t>30% and 60% species occurrence. The locations of plantings selected under the two scenarios were similar (Bray-Curtis dissimilarity 13% and 23% for the 30% target and 60% target, respectively).</w:t>
      </w:r>
    </w:p>
    <w:tbl>
      <w:tblPr>
        <w:tblW w:w="4761" w:type="pct"/>
        <w:tblLook w:val="04A0" w:firstRow="1" w:lastRow="0" w:firstColumn="1" w:lastColumn="0" w:noHBand="0" w:noVBand="1"/>
      </w:tblPr>
      <w:tblGrid>
        <w:gridCol w:w="1941"/>
        <w:gridCol w:w="1670"/>
        <w:gridCol w:w="1360"/>
        <w:gridCol w:w="1360"/>
        <w:gridCol w:w="1578"/>
        <w:gridCol w:w="1577"/>
      </w:tblGrid>
      <w:tr w:rsidR="00304731" w:rsidRPr="00E87F6C" w:rsidTr="000121FF">
        <w:trPr>
          <w:trHeight w:val="225"/>
        </w:trPr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Scenario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Cost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Plantings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Area (ha)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% Occurrence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Target met</w:t>
            </w:r>
          </w:p>
        </w:tc>
      </w:tr>
      <w:tr w:rsidR="00304731" w:rsidRPr="00E87F6C" w:rsidTr="000121FF">
        <w:trPr>
          <w:trHeight w:val="225"/>
        </w:trPr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30%: cost included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$535,125.80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185.00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60.63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</w:t>
            </w:r>
          </w:p>
        </w:tc>
      </w:tr>
      <w:tr w:rsidR="00304731" w:rsidRPr="00E87F6C" w:rsidTr="000121FF">
        <w:trPr>
          <w:trHeight w:val="22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30%: cost excluded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$591,778.60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203.80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60.28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</w:t>
            </w:r>
          </w:p>
        </w:tc>
      </w:tr>
      <w:tr w:rsidR="00304731" w:rsidRPr="00E87F6C" w:rsidTr="000121FF">
        <w:trPr>
          <w:trHeight w:val="225"/>
        </w:trPr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60%: cost included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$725,628.00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43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222.20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80.19</w:t>
            </w:r>
          </w:p>
        </w:tc>
        <w:tc>
          <w:tcPr>
            <w:tcW w:w="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</w:t>
            </w:r>
          </w:p>
        </w:tc>
      </w:tr>
      <w:tr w:rsidR="00304731" w:rsidRPr="00E87F6C" w:rsidTr="000121FF">
        <w:trPr>
          <w:trHeight w:val="225"/>
        </w:trPr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60%: cost excluded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$754,132.20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227.50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80.53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</w:t>
            </w:r>
          </w:p>
        </w:tc>
      </w:tr>
    </w:tbl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BD6EF0" w:rsidP="00871FD9">
      <w:pPr>
        <w:spacing w:after="0"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S6. Mean (SD) selection frequencies of plantings selected </w:t>
      </w:r>
      <w:r w:rsidR="00B37E59">
        <w:rPr>
          <w:rFonts w:ascii="Times New Roman" w:hAnsi="Times New Roman" w:cs="Times New Roman"/>
          <w:lang w:val="en-GB"/>
        </w:rPr>
        <w:t xml:space="preserve">the </w:t>
      </w:r>
      <w:r w:rsidR="00304731" w:rsidRPr="00E87F6C">
        <w:rPr>
          <w:rFonts w:ascii="Times New Roman" w:hAnsi="Times New Roman" w:cs="Times New Roman"/>
          <w:lang w:val="en-GB"/>
        </w:rPr>
        <w:t xml:space="preserve">in the best solutions for each </w:t>
      </w:r>
      <w:r w:rsidR="00304731">
        <w:rPr>
          <w:rFonts w:ascii="Times New Roman" w:hAnsi="Times New Roman" w:cs="Times New Roman"/>
          <w:lang w:val="en-GB"/>
        </w:rPr>
        <w:t>representation target</w:t>
      </w:r>
      <w:r w:rsidR="00304731" w:rsidRPr="00E87F6C">
        <w:rPr>
          <w:rFonts w:ascii="Times New Roman" w:hAnsi="Times New Roman" w:cs="Times New Roman"/>
          <w:lang w:val="en-GB"/>
        </w:rPr>
        <w:t xml:space="preserve"> </w:t>
      </w:r>
      <w:r w:rsidR="00B37E59">
        <w:rPr>
          <w:rFonts w:ascii="Times New Roman" w:hAnsi="Times New Roman" w:cs="Times New Roman"/>
          <w:lang w:val="en-GB"/>
        </w:rPr>
        <w:t xml:space="preserve">under </w:t>
      </w:r>
      <w:r w:rsidR="00B37E59" w:rsidRPr="00B37E59">
        <w:rPr>
          <w:rFonts w:ascii="Times New Roman" w:hAnsi="Times New Roman" w:cs="Times New Roman"/>
          <w:lang w:val="en-GB"/>
        </w:rPr>
        <w:t>dynamic complementarity scenarios</w:t>
      </w:r>
      <w:r w:rsidR="00B37E59" w:rsidRPr="00E87F6C">
        <w:rPr>
          <w:rFonts w:ascii="Times New Roman" w:hAnsi="Times New Roman" w:cs="Times New Roman"/>
          <w:lang w:val="en-GB"/>
        </w:rPr>
        <w:t xml:space="preserve"> </w:t>
      </w:r>
      <w:r w:rsidR="00304731" w:rsidRPr="00E87F6C">
        <w:rPr>
          <w:rFonts w:ascii="Times New Roman" w:hAnsi="Times New Roman" w:cs="Times New Roman"/>
          <w:lang w:val="en-GB"/>
        </w:rPr>
        <w:t>and those not selected.</w:t>
      </w:r>
    </w:p>
    <w:tbl>
      <w:tblPr>
        <w:tblW w:w="4740" w:type="dxa"/>
        <w:tblInd w:w="108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304731" w:rsidRPr="00E87F6C" w:rsidTr="000121FF">
        <w:trPr>
          <w:trHeight w:val="225"/>
        </w:trPr>
        <w:tc>
          <w:tcPr>
            <w:tcW w:w="1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Best solution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Target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Selected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Not selected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98.71 (6.42)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1.06 (5.92)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96.34 (13.32)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3.22 (9.90)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96.88 (10.93)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3.55 (10.92)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98.00 (7.91)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3.07 (19.93)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50%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98.06 (7.80)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3.19 (9.03)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60%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98.21 (7.56)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4.28 (11.40)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70%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96.25 (12.42)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13.92 (17.29)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80%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97.22 (11.57)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24.00 (21.76)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90%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99.62 (2.89)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19.67 (15.31)</w:t>
            </w:r>
          </w:p>
        </w:tc>
      </w:tr>
      <w:tr w:rsidR="00304731" w:rsidRPr="00E87F6C" w:rsidTr="000121FF">
        <w:trPr>
          <w:trHeight w:val="225"/>
        </w:trPr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100%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100.00 (0.00)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E87F6C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GB" w:eastAsia="en-AU"/>
              </w:rPr>
            </w:pPr>
            <w:r w:rsidRPr="00E87F6C">
              <w:rPr>
                <w:rFonts w:ascii="Times New Roman" w:eastAsia="Times New Roman" w:hAnsi="Times New Roman" w:cs="Times New Roman"/>
                <w:lang w:val="en-GB" w:eastAsia="en-AU"/>
              </w:rPr>
              <w:t>-</w:t>
            </w:r>
          </w:p>
        </w:tc>
      </w:tr>
    </w:tbl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304731" w:rsidRPr="00E87F6C" w:rsidRDefault="00BD6EF0" w:rsidP="00871FD9">
      <w:pPr>
        <w:spacing w:after="0"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</w:t>
      </w:r>
      <w:r w:rsidR="00304731">
        <w:rPr>
          <w:rFonts w:ascii="Times New Roman" w:hAnsi="Times New Roman" w:cs="Times New Roman"/>
          <w:lang w:val="en-GB"/>
        </w:rPr>
        <w:t>7</w:t>
      </w:r>
      <w:r w:rsidR="00304731" w:rsidRPr="00E87F6C">
        <w:rPr>
          <w:rFonts w:ascii="Times New Roman" w:hAnsi="Times New Roman" w:cs="Times New Roman"/>
          <w:lang w:val="en-GB"/>
        </w:rPr>
        <w:t xml:space="preserve">. </w:t>
      </w:r>
      <w:r w:rsidR="00304731">
        <w:rPr>
          <w:rFonts w:ascii="Times New Roman" w:hAnsi="Times New Roman" w:cs="Times New Roman"/>
          <w:lang w:val="en-GB"/>
        </w:rPr>
        <w:t xml:space="preserve">Candidate set of models including single and additive combinations of all planting attributes. See </w:t>
      </w:r>
      <w:r>
        <w:rPr>
          <w:rFonts w:ascii="Times New Roman" w:hAnsi="Times New Roman" w:cs="Times New Roman"/>
          <w:lang w:val="en-GB"/>
        </w:rPr>
        <w:t>Appendix</w:t>
      </w:r>
      <w:r w:rsidR="00304731">
        <w:rPr>
          <w:rFonts w:ascii="Times New Roman" w:hAnsi="Times New Roman" w:cs="Times New Roman"/>
          <w:lang w:val="en-GB"/>
        </w:rPr>
        <w:t xml:space="preserve"> S1 for explanation of planting attributes.</w:t>
      </w:r>
    </w:p>
    <w:tbl>
      <w:tblPr>
        <w:tblW w:w="3969" w:type="dxa"/>
        <w:tblLook w:val="04A0" w:firstRow="1" w:lastRow="0" w:firstColumn="1" w:lastColumn="0" w:noHBand="0" w:noVBand="1"/>
      </w:tblPr>
      <w:tblGrid>
        <w:gridCol w:w="3969"/>
      </w:tblGrid>
      <w:tr w:rsidR="00304731" w:rsidRPr="00304731" w:rsidTr="0030473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Models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Age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HCS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Age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HCS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Age + HCS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Age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Age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HCS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 Age + HCS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Age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Age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Age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HCS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Age + 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Age + HCS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Age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Age + 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>Area + Age + HCS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Age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Age + 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  <w:tr w:rsidR="00304731" w:rsidRPr="00304731" w:rsidTr="0030473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304731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en-AU"/>
              </w:rPr>
            </w:pP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Area + Age + HCS +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Woody Veg</w:t>
            </w:r>
            <w:r w:rsidRPr="00304731">
              <w:rPr>
                <w:rFonts w:ascii="Times New Roman" w:eastAsia="Times New Roman" w:hAnsi="Times New Roman" w:cs="Times New Roman"/>
                <w:lang w:eastAsia="en-AU"/>
              </w:rPr>
              <w:t xml:space="preserve"> + TWI</w:t>
            </w:r>
          </w:p>
        </w:tc>
      </w:tr>
    </w:tbl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  <w:sectPr w:rsidR="00304731" w:rsidSect="000121FF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304731" w:rsidRPr="00E87F6C" w:rsidRDefault="00BD6EF0" w:rsidP="00871FD9">
      <w:pPr>
        <w:spacing w:after="0"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</w:t>
      </w:r>
      <w:r w:rsidR="00304731">
        <w:rPr>
          <w:rFonts w:ascii="Times New Roman" w:hAnsi="Times New Roman" w:cs="Times New Roman"/>
          <w:lang w:val="en-GB"/>
        </w:rPr>
        <w:t>8</w:t>
      </w:r>
      <w:r w:rsidR="00304731" w:rsidRPr="00E87F6C">
        <w:rPr>
          <w:rFonts w:ascii="Times New Roman" w:hAnsi="Times New Roman" w:cs="Times New Roman"/>
          <w:lang w:val="en-GB"/>
        </w:rPr>
        <w:t xml:space="preserve">. </w:t>
      </w:r>
      <w:r w:rsidR="00304731">
        <w:rPr>
          <w:rFonts w:ascii="Times New Roman" w:hAnsi="Times New Roman" w:cs="Times New Roman"/>
          <w:lang w:val="en-GB"/>
        </w:rPr>
        <w:t>Summary of dynamic and static complementarity scenarios</w:t>
      </w:r>
    </w:p>
    <w:tbl>
      <w:tblPr>
        <w:tblW w:w="4284" w:type="pct"/>
        <w:tblLook w:val="04A0" w:firstRow="1" w:lastRow="0" w:firstColumn="1" w:lastColumn="0" w:noHBand="0" w:noVBand="1"/>
      </w:tblPr>
      <w:tblGrid>
        <w:gridCol w:w="577"/>
        <w:gridCol w:w="966"/>
        <w:gridCol w:w="577"/>
        <w:gridCol w:w="577"/>
        <w:gridCol w:w="966"/>
        <w:gridCol w:w="577"/>
        <w:gridCol w:w="577"/>
        <w:gridCol w:w="966"/>
        <w:gridCol w:w="577"/>
        <w:gridCol w:w="577"/>
        <w:gridCol w:w="966"/>
        <w:gridCol w:w="577"/>
        <w:gridCol w:w="577"/>
        <w:gridCol w:w="966"/>
        <w:gridCol w:w="577"/>
        <w:gridCol w:w="577"/>
        <w:gridCol w:w="966"/>
        <w:gridCol w:w="577"/>
        <w:gridCol w:w="577"/>
      </w:tblGrid>
      <w:tr w:rsidR="00304731" w:rsidRPr="00862AA6" w:rsidTr="000121FF">
        <w:trPr>
          <w:trHeight w:val="255"/>
        </w:trPr>
        <w:tc>
          <w:tcPr>
            <w:tcW w:w="2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Dynamic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2013</w:t>
            </w:r>
          </w:p>
        </w:tc>
      </w:tr>
      <w:tr w:rsidR="00304731" w:rsidRPr="00862AA6" w:rsidTr="000121FF">
        <w:trPr>
          <w:cantSplit/>
          <w:trHeight w:val="1783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$503,891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$114,068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$209,546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$156,488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$281,986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$166,364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$509,593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$123,890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$247,124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$166,002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$297,123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$177,061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$535,126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$163,907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$283,631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$216,123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$332,201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$212,421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$573,122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$195,243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$330,638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$266,335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$370,808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$257,570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$575,591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$229,085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$381,571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$305,878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$395,025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$300,573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$725,628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$332,518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$549,920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$448,961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$480,195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$395,403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$814,979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$397,461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$620,428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$534,510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$525,713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$459,828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$889,818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$503,252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$690,304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$606,834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$661,279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$572,794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$951,035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$574,287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$789,620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$704,481</w:t>
            </w:r>
          </w:p>
        </w:tc>
        <w:tc>
          <w:tcPr>
            <w:tcW w:w="1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$746,849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2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$751,666</w:t>
            </w: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304731" w:rsidRPr="00862AA6" w:rsidTr="000121FF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$979,198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$633,418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$890,734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$816,398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$788,795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$870,880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</w:tbl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304731" w:rsidRPr="00E87F6C" w:rsidRDefault="00BD6EF0" w:rsidP="00871FD9">
      <w:pPr>
        <w:spacing w:after="0"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</w:t>
      </w:r>
      <w:r w:rsidR="00304731" w:rsidRPr="00E87F6C">
        <w:rPr>
          <w:rFonts w:ascii="Times New Roman" w:hAnsi="Times New Roman" w:cs="Times New Roman"/>
          <w:lang w:val="en-GB"/>
        </w:rPr>
        <w:t xml:space="preserve"> S</w:t>
      </w:r>
      <w:r w:rsidR="00304731">
        <w:rPr>
          <w:rFonts w:ascii="Times New Roman" w:hAnsi="Times New Roman" w:cs="Times New Roman"/>
          <w:lang w:val="en-GB"/>
        </w:rPr>
        <w:t>9</w:t>
      </w:r>
      <w:r w:rsidR="00304731" w:rsidRPr="00E87F6C">
        <w:rPr>
          <w:rFonts w:ascii="Times New Roman" w:hAnsi="Times New Roman" w:cs="Times New Roman"/>
          <w:lang w:val="en-GB"/>
        </w:rPr>
        <w:t xml:space="preserve">. </w:t>
      </w:r>
      <w:r w:rsidR="00304731">
        <w:rPr>
          <w:rFonts w:ascii="Times New Roman" w:hAnsi="Times New Roman" w:cs="Times New Roman"/>
          <w:lang w:val="en-GB"/>
        </w:rPr>
        <w:t>Summary of dynamic complementarity and ranked scenarios.</w:t>
      </w:r>
    </w:p>
    <w:tbl>
      <w:tblPr>
        <w:tblW w:w="2282" w:type="pct"/>
        <w:tblLook w:val="04A0" w:firstRow="1" w:lastRow="0" w:firstColumn="1" w:lastColumn="0" w:noHBand="0" w:noVBand="1"/>
      </w:tblPr>
      <w:tblGrid>
        <w:gridCol w:w="577"/>
        <w:gridCol w:w="966"/>
        <w:gridCol w:w="577"/>
        <w:gridCol w:w="577"/>
        <w:gridCol w:w="1077"/>
        <w:gridCol w:w="578"/>
        <w:gridCol w:w="577"/>
        <w:gridCol w:w="1338"/>
        <w:gridCol w:w="662"/>
        <w:gridCol w:w="621"/>
      </w:tblGrid>
      <w:tr w:rsidR="00304731" w:rsidRPr="00862AA6" w:rsidTr="000121FF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Dynamic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Species-richness ranked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Species-richness / cost ranked</w:t>
            </w:r>
          </w:p>
        </w:tc>
      </w:tr>
      <w:tr w:rsidR="00304731" w:rsidRPr="00862AA6" w:rsidTr="000121FF">
        <w:trPr>
          <w:cantSplit/>
          <w:trHeight w:val="1783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(%)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Cost  ($AUD)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5-yr. min occ. (%)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731" w:rsidRPr="00862AA6" w:rsidRDefault="00304731" w:rsidP="00871FD9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Target met (%)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$503,891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$504,144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$502,903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$509,593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$504,144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$502,903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$535,126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$520,595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$525,424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$573,122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$567,577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$565,378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$575,591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$574,061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$565,378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$725,628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$721,545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$701,886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$814,979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$805,461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$819,627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$889,818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$885,168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$865,478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88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$951,035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$943,044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$892,227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</w:t>
            </w:r>
          </w:p>
        </w:tc>
      </w:tr>
      <w:tr w:rsidR="00304731" w:rsidRPr="00862AA6" w:rsidTr="000121FF">
        <w:trPr>
          <w:trHeight w:val="255"/>
        </w:trPr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$979,198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62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$979,198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862AA6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$979,198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731" w:rsidRPr="0022411D" w:rsidRDefault="00304731" w:rsidP="00871F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11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</w:tr>
    </w:tbl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Pr="00E87F6C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  <w:sectPr w:rsidR="00304731" w:rsidSect="000121FF">
          <w:pgSz w:w="16838" w:h="11906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rPr>
          <w:rFonts w:ascii="Times New Roman" w:hAnsi="Times New Roman" w:cs="Times New Roman"/>
          <w:lang w:val="en-GB"/>
        </w:rPr>
      </w:pPr>
    </w:p>
    <w:p w:rsidR="00304731" w:rsidRDefault="00304731" w:rsidP="00871FD9">
      <w:pPr>
        <w:spacing w:after="0" w:line="360" w:lineRule="auto"/>
        <w:contextualSpacing/>
        <w:jc w:val="center"/>
        <w:rPr>
          <w:rFonts w:ascii="Times New Roman" w:hAnsi="Times New Roman" w:cs="Times New Roman"/>
          <w:lang w:val="en-GB"/>
        </w:rPr>
      </w:pPr>
      <w:r w:rsidRPr="00E507CE">
        <w:rPr>
          <w:noProof/>
          <w:lang w:val="en-US"/>
        </w:rPr>
        <w:drawing>
          <wp:inline distT="0" distB="0" distL="0" distR="0" wp14:anchorId="555FCB4D" wp14:editId="57071EB1">
            <wp:extent cx="3060000" cy="29052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9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31" w:rsidRPr="00E87F6C" w:rsidRDefault="00BD6EF0" w:rsidP="00871FD9">
      <w:pPr>
        <w:pStyle w:val="NoSpacing"/>
        <w:spacing w:line="360" w:lineRule="auto"/>
        <w:contextualSpacing/>
        <w:outlineLvl w:val="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Appendix S10</w:t>
      </w:r>
      <w:r w:rsidR="00304731">
        <w:rPr>
          <w:rFonts w:ascii="Times New Roman" w:hAnsi="Times New Roman" w:cs="Times New Roman"/>
          <w:lang w:val="en-GB"/>
        </w:rPr>
        <w:t xml:space="preserve">. </w:t>
      </w:r>
      <w:r w:rsidR="00B37E59" w:rsidRPr="00A67A21">
        <w:rPr>
          <w:rFonts w:ascii="Times New Roman" w:hAnsi="Times New Roman" w:cs="Times New Roman"/>
          <w:lang w:val="en-US"/>
        </w:rPr>
        <w:t xml:space="preserve">Summary of </w:t>
      </w:r>
      <w:r w:rsidR="00B37E59" w:rsidRPr="00A67A21">
        <w:rPr>
          <w:rFonts w:ascii="Times New Roman" w:eastAsia="Times New Roman" w:hAnsi="Times New Roman" w:cs="Times New Roman"/>
          <w:lang w:val="en-US" w:eastAsia="en-AU"/>
        </w:rPr>
        <w:t xml:space="preserve">model-averaged effect sizes (and 95% CIs) for terms in the </w:t>
      </w:r>
      <w:r w:rsidR="00B37E59" w:rsidRPr="00A67A21">
        <w:rPr>
          <w:rFonts w:ascii="Times New Roman" w:hAnsi="Times New Roman" w:cs="Times New Roman"/>
          <w:lang w:val="en-US"/>
        </w:rPr>
        <w:t>top-ranked models (</w:t>
      </w:r>
      <w:proofErr w:type="spellStart"/>
      <w:r w:rsidR="00B37E59" w:rsidRPr="00A67A21">
        <w:rPr>
          <w:rFonts w:ascii="Times New Roman" w:eastAsia="Times New Roman" w:hAnsi="Times New Roman" w:cs="Times New Roman"/>
          <w:lang w:val="en-US" w:eastAsia="en-AU"/>
        </w:rPr>
        <w:t>ΔAICc</w:t>
      </w:r>
      <w:proofErr w:type="spellEnd"/>
      <w:r w:rsidR="00B37E59" w:rsidRPr="00A67A21">
        <w:rPr>
          <w:rFonts w:ascii="Times New Roman" w:eastAsia="Times New Roman" w:hAnsi="Times New Roman" w:cs="Times New Roman"/>
          <w:lang w:val="en-US" w:eastAsia="en-AU"/>
        </w:rPr>
        <w:t xml:space="preserve">≤ 2) for 30% (closed circles) and 60% (open circles) representation targets. </w:t>
      </w:r>
      <w:r w:rsidR="00B37E59" w:rsidRPr="00A67A21">
        <w:rPr>
          <w:rFonts w:ascii="Times New Roman" w:hAnsi="Times New Roman" w:cs="Times New Roman"/>
          <w:lang w:val="en-US"/>
        </w:rPr>
        <w:t xml:space="preserve">See </w:t>
      </w:r>
      <w:r w:rsidR="00B37E59">
        <w:rPr>
          <w:rFonts w:ascii="Times New Roman" w:hAnsi="Times New Roman" w:cs="Times New Roman"/>
          <w:lang w:val="en-US"/>
        </w:rPr>
        <w:t>Appendix S1</w:t>
      </w:r>
      <w:r w:rsidR="00B37E59" w:rsidRPr="00A67A21">
        <w:rPr>
          <w:rFonts w:ascii="Times New Roman" w:hAnsi="Times New Roman" w:cs="Times New Roman"/>
          <w:lang w:val="en-US"/>
        </w:rPr>
        <w:t xml:space="preserve"> for a description of model terms.</w:t>
      </w:r>
    </w:p>
    <w:p w:rsidR="000121FF" w:rsidRDefault="000121FF" w:rsidP="00871FD9">
      <w:pPr>
        <w:spacing w:after="0" w:line="360" w:lineRule="auto"/>
        <w:contextualSpacing/>
      </w:pPr>
    </w:p>
    <w:sectPr w:rsidR="000121FF" w:rsidSect="000121F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1"/>
    <w:rsid w:val="000121FF"/>
    <w:rsid w:val="00254E72"/>
    <w:rsid w:val="00304731"/>
    <w:rsid w:val="00521081"/>
    <w:rsid w:val="0068776A"/>
    <w:rsid w:val="00871FD9"/>
    <w:rsid w:val="00AB5359"/>
    <w:rsid w:val="00B37E59"/>
    <w:rsid w:val="00BD6EF0"/>
    <w:rsid w:val="00E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4731"/>
    <w:pPr>
      <w:spacing w:after="0" w:line="240" w:lineRule="auto"/>
    </w:pPr>
  </w:style>
  <w:style w:type="table" w:styleId="TableGrid">
    <w:name w:val="Table Grid"/>
    <w:basedOn w:val="TableNormal"/>
    <w:uiPriority w:val="39"/>
    <w:rsid w:val="003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04731"/>
  </w:style>
  <w:style w:type="character" w:styleId="Hyperlink">
    <w:name w:val="Hyperlink"/>
    <w:basedOn w:val="DefaultParagraphFont"/>
    <w:uiPriority w:val="99"/>
    <w:unhideWhenUsed/>
    <w:rsid w:val="00871F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4731"/>
    <w:pPr>
      <w:spacing w:after="0" w:line="240" w:lineRule="auto"/>
    </w:pPr>
  </w:style>
  <w:style w:type="table" w:styleId="TableGrid">
    <w:name w:val="Table Grid"/>
    <w:basedOn w:val="TableNormal"/>
    <w:uiPriority w:val="39"/>
    <w:rsid w:val="003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04731"/>
  </w:style>
  <w:style w:type="character" w:styleId="Hyperlink">
    <w:name w:val="Hyperlink"/>
    <w:basedOn w:val="DefaultParagraphFont"/>
    <w:uiPriority w:val="99"/>
    <w:unhideWhenUsed/>
    <w:rsid w:val="00871F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aren.ikin@an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Ikin</dc:creator>
  <cp:lastModifiedBy>Ivan Jimenez</cp:lastModifiedBy>
  <cp:revision>2</cp:revision>
  <dcterms:created xsi:type="dcterms:W3CDTF">2016-10-02T21:02:00Z</dcterms:created>
  <dcterms:modified xsi:type="dcterms:W3CDTF">2016-10-02T21:02:00Z</dcterms:modified>
</cp:coreProperties>
</file>